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4BA33" w14:textId="78700637" w:rsidR="000E2FF8" w:rsidRPr="00C7597F" w:rsidRDefault="00052A10" w:rsidP="00C7597F">
      <w:pPr>
        <w:spacing w:after="0" w:line="240" w:lineRule="auto"/>
        <w:jc w:val="center"/>
        <w:rPr>
          <w:rFonts w:ascii="Arial" w:hAnsi="Arial" w:cs="Arial"/>
          <w:b/>
          <w:color w:val="3333FF"/>
          <w:u w:val="single"/>
          <w:lang w:val="en-GB"/>
        </w:rPr>
      </w:pPr>
      <w:r w:rsidRPr="00C7597F">
        <w:rPr>
          <w:rFonts w:ascii="Arial" w:hAnsi="Arial" w:cs="Arial"/>
          <w:b/>
          <w:noProof/>
          <w:color w:val="3333FF"/>
          <w:u w:val="single"/>
          <w:lang w:val="en-US"/>
        </w:rPr>
        <w:drawing>
          <wp:anchor distT="0" distB="0" distL="114300" distR="114300" simplePos="0" relativeHeight="251660288" behindDoc="0" locked="0" layoutInCell="1" allowOverlap="1" wp14:anchorId="5A5DDBEF" wp14:editId="01FEE413">
            <wp:simplePos x="0" y="0"/>
            <wp:positionH relativeFrom="column">
              <wp:posOffset>3022075</wp:posOffset>
            </wp:positionH>
            <wp:positionV relativeFrom="paragraph">
              <wp:posOffset>1128754</wp:posOffset>
            </wp:positionV>
            <wp:extent cx="1257300" cy="1257300"/>
            <wp:effectExtent l="0" t="0" r="0" b="0"/>
            <wp:wrapNone/>
            <wp:docPr id="827816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597F">
        <w:rPr>
          <w:rFonts w:ascii="Arial" w:hAnsi="Arial" w:cs="Arial"/>
          <w:bCs/>
          <w:noProof/>
          <w:color w:val="3333FF"/>
          <w:lang w:val="en-US"/>
        </w:rPr>
        <w:drawing>
          <wp:anchor distT="0" distB="0" distL="114300" distR="114300" simplePos="0" relativeHeight="251661312" behindDoc="0" locked="0" layoutInCell="1" allowOverlap="1" wp14:anchorId="63D12A0C" wp14:editId="5E368DD2">
            <wp:simplePos x="0" y="0"/>
            <wp:positionH relativeFrom="column">
              <wp:posOffset>4383571</wp:posOffset>
            </wp:positionH>
            <wp:positionV relativeFrom="page">
              <wp:posOffset>2035203</wp:posOffset>
            </wp:positionV>
            <wp:extent cx="1257300" cy="1281364"/>
            <wp:effectExtent l="0" t="0" r="0" b="0"/>
            <wp:wrapNone/>
            <wp:docPr id="1784094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2813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2FF8" w:rsidRPr="00C7597F">
        <w:rPr>
          <w:rFonts w:ascii="Arial" w:hAnsi="Arial" w:cs="Arial"/>
          <w:b/>
          <w:bCs/>
          <w:noProof/>
          <w:color w:val="3333FF"/>
          <w:sz w:val="28"/>
          <w:szCs w:val="28"/>
          <w:lang w:val="en-US"/>
        </w:rPr>
        <w:drawing>
          <wp:anchor distT="0" distB="0" distL="114300" distR="114300" simplePos="0" relativeHeight="251659264" behindDoc="1" locked="0" layoutInCell="1" allowOverlap="1" wp14:anchorId="14730CE3" wp14:editId="743D3BB5">
            <wp:simplePos x="0" y="0"/>
            <wp:positionH relativeFrom="page">
              <wp:posOffset>-238125</wp:posOffset>
            </wp:positionH>
            <wp:positionV relativeFrom="page">
              <wp:posOffset>19050</wp:posOffset>
            </wp:positionV>
            <wp:extent cx="7772400" cy="1962150"/>
            <wp:effectExtent l="0" t="0" r="0" b="0"/>
            <wp:wrapThrough wrapText="bothSides">
              <wp:wrapPolygon edited="0">
                <wp:start x="0" y="0"/>
                <wp:lineTo x="0" y="21390"/>
                <wp:lineTo x="21547" y="21390"/>
                <wp:lineTo x="21547" y="0"/>
                <wp:lineTo x="0" y="0"/>
              </wp:wrapPolygon>
            </wp:wrapThrough>
            <wp:docPr id="963927628" name="Picture 963927628" descr="C:\Users\Ataiwo\Desktop\2015\SOLAPE\ARTICLE\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927628" name="Picture 963927628" descr="C:\Users\Ataiwo\Desktop\2015\SOLAPE\ARTICLE\HEADER.jpg"/>
                    <pic:cNvPicPr>
                      <a:picLocks noChangeAspect="1" noChangeArrowheads="1"/>
                    </pic:cNvPicPr>
                  </pic:nvPicPr>
                  <pic:blipFill>
                    <a:blip r:embed="rId10">
                      <a:extLst>
                        <a:ext uri="{28A0092B-C50C-407E-A947-70E740481C1C}">
                          <a14:useLocalDpi xmlns:a14="http://schemas.microsoft.com/office/drawing/2010/main" val="0"/>
                        </a:ext>
                      </a:extLst>
                    </a:blip>
                    <a:srcRect b="3474"/>
                    <a:stretch>
                      <a:fillRect/>
                    </a:stretch>
                  </pic:blipFill>
                  <pic:spPr>
                    <a:xfrm>
                      <a:off x="0" y="0"/>
                      <a:ext cx="7772400" cy="1962150"/>
                    </a:xfrm>
                    <a:prstGeom prst="rect">
                      <a:avLst/>
                    </a:prstGeom>
                    <a:noFill/>
                    <a:ln>
                      <a:noFill/>
                    </a:ln>
                  </pic:spPr>
                </pic:pic>
              </a:graphicData>
            </a:graphic>
          </wp:anchor>
        </w:drawing>
      </w:r>
    </w:p>
    <w:p w14:paraId="3828CEC0" w14:textId="3C2B35F8" w:rsidR="00052A10" w:rsidRPr="00052A10" w:rsidRDefault="00052A10" w:rsidP="00C7597F">
      <w:pPr>
        <w:spacing w:after="0" w:line="240" w:lineRule="auto"/>
        <w:rPr>
          <w:rFonts w:ascii="Arial" w:hAnsi="Arial" w:cs="Arial"/>
          <w:b/>
          <w:color w:val="3333FF"/>
          <w:lang w:val="en-GB"/>
        </w:rPr>
      </w:pPr>
      <w:r w:rsidRPr="00052A10">
        <w:rPr>
          <w:rFonts w:ascii="Arial" w:hAnsi="Arial" w:cs="Arial"/>
          <w:b/>
          <w:color w:val="3333FF"/>
          <w:lang w:val="en-GB"/>
        </w:rPr>
        <w:t>Company Law Practice/Dispute Resolution</w:t>
      </w:r>
    </w:p>
    <w:p w14:paraId="27E96A83" w14:textId="10906EEC" w:rsidR="007C48F7" w:rsidRPr="00052A10" w:rsidRDefault="007C48F7" w:rsidP="00C7597F">
      <w:pPr>
        <w:spacing w:after="0" w:line="240" w:lineRule="auto"/>
        <w:rPr>
          <w:rFonts w:ascii="Arial" w:hAnsi="Arial" w:cs="Arial"/>
          <w:b/>
          <w:color w:val="3333FF"/>
          <w:sz w:val="20"/>
          <w:szCs w:val="20"/>
          <w:lang w:val="en-GB"/>
        </w:rPr>
      </w:pPr>
      <w:r w:rsidRPr="00052A10">
        <w:rPr>
          <w:rFonts w:ascii="Arial" w:hAnsi="Arial" w:cs="Arial"/>
          <w:b/>
          <w:color w:val="3333FF"/>
          <w:sz w:val="20"/>
          <w:szCs w:val="20"/>
          <w:lang w:val="en-GB"/>
        </w:rPr>
        <w:t>4</w:t>
      </w:r>
      <w:r w:rsidRPr="00052A10">
        <w:rPr>
          <w:rFonts w:ascii="Arial" w:hAnsi="Arial" w:cs="Arial"/>
          <w:b/>
          <w:color w:val="3333FF"/>
          <w:sz w:val="20"/>
          <w:szCs w:val="20"/>
          <w:vertAlign w:val="superscript"/>
          <w:lang w:val="en-GB"/>
        </w:rPr>
        <w:t>th</w:t>
      </w:r>
      <w:r w:rsidRPr="00052A10">
        <w:rPr>
          <w:rFonts w:ascii="Arial" w:hAnsi="Arial" w:cs="Arial"/>
          <w:b/>
          <w:color w:val="3333FF"/>
          <w:sz w:val="20"/>
          <w:szCs w:val="20"/>
          <w:lang w:val="en-GB"/>
        </w:rPr>
        <w:t xml:space="preserve"> July 2024</w:t>
      </w:r>
    </w:p>
    <w:p w14:paraId="03061490" w14:textId="72C007FD" w:rsidR="007C48F7" w:rsidRPr="00C7597F" w:rsidRDefault="007C48F7" w:rsidP="00C7597F">
      <w:pPr>
        <w:spacing w:after="0" w:line="240" w:lineRule="auto"/>
        <w:rPr>
          <w:rFonts w:ascii="Arial" w:hAnsi="Arial" w:cs="Arial"/>
          <w:b/>
          <w:color w:val="3333FF"/>
          <w:u w:val="single"/>
          <w:lang w:val="en-GB"/>
        </w:rPr>
      </w:pPr>
    </w:p>
    <w:p w14:paraId="543CE6DE" w14:textId="4841888C" w:rsidR="007C48F7" w:rsidRPr="00C7597F" w:rsidRDefault="007C48F7" w:rsidP="00C7597F">
      <w:pPr>
        <w:spacing w:after="0" w:line="240" w:lineRule="auto"/>
        <w:rPr>
          <w:rFonts w:ascii="Arial" w:hAnsi="Arial" w:cs="Arial"/>
          <w:b/>
          <w:color w:val="3333FF"/>
          <w:lang w:val="en-GB"/>
        </w:rPr>
      </w:pPr>
    </w:p>
    <w:p w14:paraId="0A20847D" w14:textId="158BB505" w:rsidR="007C48F7" w:rsidRPr="00C7597F" w:rsidRDefault="00052A10" w:rsidP="00C7597F">
      <w:pPr>
        <w:spacing w:after="0" w:line="240" w:lineRule="auto"/>
        <w:rPr>
          <w:rFonts w:ascii="Arial" w:hAnsi="Arial" w:cs="Arial"/>
          <w:b/>
          <w:color w:val="3333FF"/>
          <w:u w:val="single"/>
          <w:lang w:val="en-GB"/>
        </w:rPr>
      </w:pPr>
      <w:r>
        <w:rPr>
          <w:rFonts w:ascii="Arial" w:hAnsi="Arial" w:cs="Arial"/>
          <w:b/>
          <w:color w:val="3333FF"/>
          <w:u w:val="single"/>
          <w:lang w:val="en-GB"/>
        </w:rPr>
        <w:t xml:space="preserve">                                                                   </w:t>
      </w:r>
    </w:p>
    <w:p w14:paraId="0E8AEB6E" w14:textId="77777777" w:rsidR="007C48F7" w:rsidRPr="00C7597F" w:rsidRDefault="007C48F7" w:rsidP="00C7597F">
      <w:pPr>
        <w:spacing w:after="0" w:line="240" w:lineRule="auto"/>
        <w:rPr>
          <w:rFonts w:ascii="Arial" w:hAnsi="Arial" w:cs="Arial"/>
          <w:b/>
          <w:color w:val="3333FF"/>
          <w:u w:val="single"/>
          <w:lang w:val="en-GB"/>
        </w:rPr>
      </w:pPr>
    </w:p>
    <w:p w14:paraId="17466741" w14:textId="77777777" w:rsidR="007C48F7" w:rsidRPr="00C7597F" w:rsidRDefault="007C48F7" w:rsidP="00C7597F">
      <w:pPr>
        <w:spacing w:after="0" w:line="240" w:lineRule="auto"/>
        <w:rPr>
          <w:rFonts w:ascii="Arial" w:hAnsi="Arial" w:cs="Arial"/>
          <w:b/>
          <w:color w:val="3333FF"/>
          <w:u w:val="single"/>
          <w:lang w:val="en-GB"/>
        </w:rPr>
      </w:pPr>
    </w:p>
    <w:p w14:paraId="4B523C5B" w14:textId="67D30D94" w:rsidR="007C48F7" w:rsidRPr="00052A10" w:rsidRDefault="00052A10" w:rsidP="00706434">
      <w:pPr>
        <w:spacing w:after="0" w:line="360" w:lineRule="auto"/>
        <w:ind w:left="3600"/>
        <w:rPr>
          <w:rFonts w:ascii="Arial" w:hAnsi="Arial" w:cs="Arial"/>
          <w:b/>
          <w:bCs/>
          <w:color w:val="3333FF"/>
          <w:sz w:val="20"/>
          <w:szCs w:val="20"/>
          <w:lang w:val="en-GB"/>
        </w:rPr>
      </w:pPr>
      <w:r>
        <w:rPr>
          <w:rFonts w:ascii="Arial" w:hAnsi="Arial" w:cs="Arial"/>
          <w:b/>
          <w:bCs/>
          <w:color w:val="3333FF"/>
          <w:lang w:val="en-GB"/>
        </w:rPr>
        <w:t xml:space="preserve">            </w:t>
      </w:r>
      <w:r w:rsidR="00C7597F">
        <w:rPr>
          <w:rFonts w:ascii="Arial" w:hAnsi="Arial" w:cs="Arial"/>
          <w:b/>
          <w:bCs/>
          <w:color w:val="3333FF"/>
          <w:lang w:val="en-GB"/>
        </w:rPr>
        <w:t xml:space="preserve">       </w:t>
      </w:r>
      <w:r>
        <w:rPr>
          <w:rFonts w:ascii="Arial" w:hAnsi="Arial" w:cs="Arial"/>
          <w:b/>
          <w:bCs/>
          <w:color w:val="3333FF"/>
          <w:lang w:val="en-GB"/>
        </w:rPr>
        <w:t xml:space="preserve"> </w:t>
      </w:r>
      <w:r w:rsidR="007C48F7" w:rsidRPr="00052A10">
        <w:rPr>
          <w:rFonts w:ascii="Arial" w:hAnsi="Arial" w:cs="Arial"/>
          <w:b/>
          <w:bCs/>
          <w:color w:val="3333FF"/>
          <w:sz w:val="20"/>
          <w:szCs w:val="20"/>
          <w:lang w:val="en-GB"/>
        </w:rPr>
        <w:t xml:space="preserve">Magnus </w:t>
      </w:r>
      <w:proofErr w:type="spellStart"/>
      <w:r w:rsidR="007C48F7" w:rsidRPr="00052A10">
        <w:rPr>
          <w:rFonts w:ascii="Arial" w:hAnsi="Arial" w:cs="Arial"/>
          <w:b/>
          <w:bCs/>
          <w:color w:val="3333FF"/>
          <w:sz w:val="20"/>
          <w:szCs w:val="20"/>
          <w:lang w:val="en-GB"/>
        </w:rPr>
        <w:t>Ejelonu</w:t>
      </w:r>
      <w:proofErr w:type="spellEnd"/>
      <w:r w:rsidR="00C7597F" w:rsidRPr="00052A10">
        <w:rPr>
          <w:rFonts w:ascii="Arial" w:hAnsi="Arial" w:cs="Arial"/>
          <w:b/>
          <w:bCs/>
          <w:color w:val="3333FF"/>
          <w:sz w:val="20"/>
          <w:szCs w:val="20"/>
          <w:lang w:val="en-GB"/>
        </w:rPr>
        <w:tab/>
      </w:r>
      <w:r w:rsidRPr="00052A10">
        <w:rPr>
          <w:rFonts w:ascii="Arial" w:hAnsi="Arial" w:cs="Arial"/>
          <w:b/>
          <w:bCs/>
          <w:color w:val="3333FF"/>
          <w:sz w:val="20"/>
          <w:szCs w:val="20"/>
          <w:lang w:val="en-GB"/>
        </w:rPr>
        <w:t xml:space="preserve">    </w:t>
      </w:r>
      <w:r>
        <w:rPr>
          <w:rFonts w:ascii="Arial" w:hAnsi="Arial" w:cs="Arial"/>
          <w:b/>
          <w:bCs/>
          <w:color w:val="3333FF"/>
          <w:sz w:val="20"/>
          <w:szCs w:val="20"/>
          <w:lang w:val="en-GB"/>
        </w:rPr>
        <w:t xml:space="preserve">  </w:t>
      </w:r>
      <w:r w:rsidRPr="00052A10">
        <w:rPr>
          <w:rFonts w:ascii="Arial" w:hAnsi="Arial" w:cs="Arial"/>
          <w:b/>
          <w:bCs/>
          <w:color w:val="3333FF"/>
          <w:sz w:val="20"/>
          <w:szCs w:val="20"/>
          <w:lang w:val="en-GB"/>
        </w:rPr>
        <w:t xml:space="preserve"> </w:t>
      </w:r>
      <w:proofErr w:type="spellStart"/>
      <w:r w:rsidR="00C7597F" w:rsidRPr="00052A10">
        <w:rPr>
          <w:rFonts w:ascii="Arial" w:hAnsi="Arial" w:cs="Arial"/>
          <w:b/>
          <w:bCs/>
          <w:color w:val="3333FF"/>
          <w:sz w:val="20"/>
          <w:szCs w:val="20"/>
          <w:lang w:val="en-GB"/>
        </w:rPr>
        <w:t>Damilola</w:t>
      </w:r>
      <w:proofErr w:type="spellEnd"/>
      <w:r w:rsidR="00C7597F" w:rsidRPr="00052A10">
        <w:rPr>
          <w:rFonts w:ascii="Arial" w:hAnsi="Arial" w:cs="Arial"/>
          <w:b/>
          <w:bCs/>
          <w:color w:val="3333FF"/>
          <w:sz w:val="20"/>
          <w:szCs w:val="20"/>
          <w:lang w:val="en-GB"/>
        </w:rPr>
        <w:t xml:space="preserve"> </w:t>
      </w:r>
      <w:proofErr w:type="spellStart"/>
      <w:r w:rsidR="00C7597F" w:rsidRPr="00052A10">
        <w:rPr>
          <w:rFonts w:ascii="Arial" w:hAnsi="Arial" w:cs="Arial"/>
          <w:b/>
          <w:bCs/>
          <w:color w:val="3333FF"/>
          <w:sz w:val="20"/>
          <w:szCs w:val="20"/>
          <w:lang w:val="en-GB"/>
        </w:rPr>
        <w:t>Akinsanya</w:t>
      </w:r>
      <w:proofErr w:type="spellEnd"/>
    </w:p>
    <w:p w14:paraId="2594E3B1" w14:textId="77777777" w:rsidR="007C48F7" w:rsidRDefault="007C48F7" w:rsidP="007C48F7">
      <w:pPr>
        <w:spacing w:after="0" w:line="240" w:lineRule="auto"/>
        <w:ind w:left="5760" w:firstLine="720"/>
        <w:jc w:val="center"/>
        <w:rPr>
          <w:rFonts w:ascii="Arial" w:hAnsi="Arial" w:cs="Arial"/>
          <w:b/>
          <w:u w:val="single"/>
          <w:lang w:val="en-GB"/>
        </w:rPr>
      </w:pPr>
    </w:p>
    <w:p w14:paraId="3D1FAD9D" w14:textId="36D959AE" w:rsidR="00017284" w:rsidRDefault="003E536F" w:rsidP="007C48F7">
      <w:pPr>
        <w:spacing w:after="0" w:line="240" w:lineRule="auto"/>
        <w:jc w:val="center"/>
        <w:rPr>
          <w:rFonts w:ascii="Arial" w:hAnsi="Arial" w:cs="Arial"/>
          <w:b/>
          <w:u w:val="single"/>
          <w:lang w:val="en-GB"/>
        </w:rPr>
      </w:pPr>
      <w:r w:rsidRPr="00891E88">
        <w:rPr>
          <w:rFonts w:ascii="Arial" w:hAnsi="Arial" w:cs="Arial"/>
          <w:b/>
          <w:u w:val="single"/>
          <w:lang w:val="en-GB"/>
        </w:rPr>
        <w:t>The Permissibility of Ex-Parte Applications in Winding-Up Proceedings</w:t>
      </w:r>
      <w:r w:rsidR="00FE0B4C">
        <w:rPr>
          <w:rFonts w:ascii="Arial" w:hAnsi="Arial" w:cs="Arial"/>
          <w:b/>
          <w:u w:val="single"/>
          <w:lang w:val="en-GB"/>
        </w:rPr>
        <w:t xml:space="preserve"> in Nigeria</w:t>
      </w:r>
      <w:r>
        <w:rPr>
          <w:rStyle w:val="FootnoteReference"/>
          <w:rFonts w:ascii="Arial" w:hAnsi="Arial" w:cs="Arial"/>
          <w:b/>
          <w:u w:val="single"/>
          <w:lang w:val="en-GB"/>
        </w:rPr>
        <w:footnoteReference w:id="1"/>
      </w:r>
    </w:p>
    <w:p w14:paraId="171B1FEC" w14:textId="77777777" w:rsidR="007C48F7" w:rsidRPr="00891E88" w:rsidRDefault="007C48F7" w:rsidP="007C48F7">
      <w:pPr>
        <w:spacing w:after="0" w:line="240" w:lineRule="auto"/>
        <w:jc w:val="center"/>
        <w:rPr>
          <w:rFonts w:ascii="Arial" w:hAnsi="Arial" w:cs="Arial"/>
          <w:b/>
          <w:u w:val="single"/>
          <w:lang w:val="en-GB"/>
        </w:rPr>
      </w:pPr>
    </w:p>
    <w:p w14:paraId="4E269B9C" w14:textId="044143E3" w:rsidR="00C03E79" w:rsidRPr="007C48F7" w:rsidRDefault="003E536F" w:rsidP="007C48F7">
      <w:pPr>
        <w:pStyle w:val="ListParagraph"/>
        <w:numPr>
          <w:ilvl w:val="0"/>
          <w:numId w:val="4"/>
        </w:numPr>
        <w:spacing w:after="120" w:line="360" w:lineRule="auto"/>
        <w:ind w:hanging="720"/>
        <w:jc w:val="both"/>
        <w:rPr>
          <w:rFonts w:ascii="Arial" w:hAnsi="Arial" w:cs="Arial"/>
          <w:b/>
        </w:rPr>
      </w:pPr>
      <w:r w:rsidRPr="007C48F7">
        <w:rPr>
          <w:rFonts w:ascii="Arial" w:hAnsi="Arial" w:cs="Arial"/>
          <w:b/>
        </w:rPr>
        <w:t>Introduction</w:t>
      </w:r>
    </w:p>
    <w:p w14:paraId="3A2C9DD2" w14:textId="0018BC49" w:rsidR="00B427B3" w:rsidRPr="00A94BA3" w:rsidRDefault="003E536F" w:rsidP="007C48F7">
      <w:pPr>
        <w:spacing w:after="120" w:line="360" w:lineRule="auto"/>
        <w:ind w:left="720"/>
        <w:jc w:val="both"/>
        <w:rPr>
          <w:rFonts w:ascii="Arial" w:hAnsi="Arial" w:cs="Arial"/>
          <w:lang w:val="en-GB"/>
        </w:rPr>
      </w:pPr>
      <w:r w:rsidRPr="00A94BA3">
        <w:rPr>
          <w:rFonts w:ascii="Arial" w:hAnsi="Arial" w:cs="Arial"/>
          <w:lang w:val="en-GB"/>
        </w:rPr>
        <w:t>Winding-</w:t>
      </w:r>
      <w:r w:rsidR="00732F6B" w:rsidRPr="00A94BA3">
        <w:rPr>
          <w:rFonts w:ascii="Arial" w:hAnsi="Arial" w:cs="Arial"/>
          <w:lang w:val="en-GB"/>
        </w:rPr>
        <w:t xml:space="preserve">up </w:t>
      </w:r>
      <w:r w:rsidR="00B01393" w:rsidRPr="00A94BA3">
        <w:rPr>
          <w:rFonts w:ascii="Arial" w:hAnsi="Arial" w:cs="Arial"/>
          <w:lang w:val="en-GB"/>
        </w:rPr>
        <w:t>actions</w:t>
      </w:r>
      <w:r w:rsidR="00732F6B" w:rsidRPr="00A94BA3">
        <w:rPr>
          <w:rFonts w:ascii="Arial" w:hAnsi="Arial" w:cs="Arial"/>
          <w:lang w:val="en-GB"/>
        </w:rPr>
        <w:t xml:space="preserve"> are</w:t>
      </w:r>
      <w:r w:rsidRPr="00A94BA3">
        <w:rPr>
          <w:rFonts w:ascii="Arial" w:hAnsi="Arial" w:cs="Arial"/>
          <w:lang w:val="en-GB"/>
        </w:rPr>
        <w:t xml:space="preserve"> </w:t>
      </w:r>
      <w:r w:rsidRPr="00A94BA3">
        <w:rPr>
          <w:rFonts w:ascii="Arial" w:hAnsi="Arial" w:cs="Arial"/>
          <w:i/>
          <w:lang w:val="en-GB"/>
        </w:rPr>
        <w:t>sui generis</w:t>
      </w:r>
      <w:r w:rsidRPr="00A94BA3">
        <w:rPr>
          <w:rFonts w:ascii="Arial" w:hAnsi="Arial" w:cs="Arial"/>
          <w:lang w:val="en-GB"/>
        </w:rPr>
        <w:t xml:space="preserve"> </w:t>
      </w:r>
      <w:r w:rsidR="00732F6B" w:rsidRPr="00A94BA3">
        <w:rPr>
          <w:rFonts w:ascii="Arial" w:hAnsi="Arial" w:cs="Arial"/>
          <w:lang w:val="en-GB"/>
        </w:rPr>
        <w:t>proceedings</w:t>
      </w:r>
      <w:r>
        <w:rPr>
          <w:rStyle w:val="FootnoteReference"/>
          <w:rFonts w:ascii="Arial" w:hAnsi="Arial" w:cs="Arial"/>
          <w:lang w:val="en-GB"/>
        </w:rPr>
        <w:footnoteReference w:id="2"/>
      </w:r>
      <w:r w:rsidR="00732F6B" w:rsidRPr="00A94BA3">
        <w:rPr>
          <w:rFonts w:ascii="Arial" w:hAnsi="Arial" w:cs="Arial"/>
          <w:lang w:val="en-GB"/>
        </w:rPr>
        <w:t xml:space="preserve"> </w:t>
      </w:r>
      <w:r w:rsidR="00967175">
        <w:rPr>
          <w:rFonts w:ascii="Arial" w:hAnsi="Arial" w:cs="Arial"/>
          <w:lang w:val="en-GB"/>
        </w:rPr>
        <w:t>governed</w:t>
      </w:r>
      <w:r w:rsidR="00EB4249">
        <w:rPr>
          <w:rFonts w:ascii="Arial" w:hAnsi="Arial" w:cs="Arial"/>
          <w:lang w:val="en-GB"/>
        </w:rPr>
        <w:t xml:space="preserve"> by their own specialised</w:t>
      </w:r>
      <w:r w:rsidR="00A44275">
        <w:rPr>
          <w:rFonts w:ascii="Arial" w:hAnsi="Arial" w:cs="Arial"/>
          <w:lang w:val="en-GB"/>
        </w:rPr>
        <w:t xml:space="preserve"> </w:t>
      </w:r>
      <w:r w:rsidR="001D2E15">
        <w:rPr>
          <w:rFonts w:ascii="Arial" w:hAnsi="Arial" w:cs="Arial"/>
          <w:lang w:val="en-GB"/>
        </w:rPr>
        <w:t>set of rules</w:t>
      </w:r>
      <w:r w:rsidR="00967175">
        <w:rPr>
          <w:rFonts w:ascii="Arial" w:hAnsi="Arial" w:cs="Arial"/>
          <w:lang w:val="en-GB"/>
        </w:rPr>
        <w:t xml:space="preserve"> known as the </w:t>
      </w:r>
      <w:r w:rsidR="00EB4249">
        <w:rPr>
          <w:rFonts w:ascii="Arial" w:hAnsi="Arial" w:cs="Arial"/>
          <w:lang w:val="en-GB"/>
        </w:rPr>
        <w:t>Compan</w:t>
      </w:r>
      <w:r w:rsidR="00F04A6E">
        <w:rPr>
          <w:rFonts w:ascii="Arial" w:hAnsi="Arial" w:cs="Arial"/>
          <w:lang w:val="en-GB"/>
        </w:rPr>
        <w:t xml:space="preserve">ies Winding-Up Rules 2001 (“the Winding-Up </w:t>
      </w:r>
      <w:r w:rsidR="00EB4249">
        <w:rPr>
          <w:rFonts w:ascii="Arial" w:hAnsi="Arial" w:cs="Arial"/>
          <w:lang w:val="en-GB"/>
        </w:rPr>
        <w:t xml:space="preserve">Rules”) as well as some provisions of the </w:t>
      </w:r>
      <w:r w:rsidR="00EB4249" w:rsidRPr="00A94BA3">
        <w:rPr>
          <w:rFonts w:ascii="Arial" w:hAnsi="Arial" w:cs="Arial"/>
          <w:lang w:val="en-GB"/>
        </w:rPr>
        <w:t>Companies and Al</w:t>
      </w:r>
      <w:r w:rsidR="00DC0E72">
        <w:rPr>
          <w:rFonts w:ascii="Arial" w:hAnsi="Arial" w:cs="Arial"/>
          <w:lang w:val="en-GB"/>
        </w:rPr>
        <w:t>lied Matters Act 2020</w:t>
      </w:r>
      <w:r w:rsidR="001D2E15">
        <w:rPr>
          <w:rFonts w:ascii="Arial" w:hAnsi="Arial" w:cs="Arial"/>
          <w:lang w:val="en-GB"/>
        </w:rPr>
        <w:t xml:space="preserve"> (</w:t>
      </w:r>
      <w:r w:rsidR="00097514">
        <w:rPr>
          <w:rFonts w:ascii="Arial" w:hAnsi="Arial" w:cs="Arial"/>
          <w:lang w:val="en-GB"/>
        </w:rPr>
        <w:t xml:space="preserve">the </w:t>
      </w:r>
      <w:r w:rsidR="001D2E15">
        <w:rPr>
          <w:rFonts w:ascii="Arial" w:hAnsi="Arial" w:cs="Arial"/>
          <w:lang w:val="en-GB"/>
        </w:rPr>
        <w:t>“Act”)</w:t>
      </w:r>
      <w:r w:rsidR="00B052CB">
        <w:rPr>
          <w:rFonts w:ascii="Arial" w:hAnsi="Arial" w:cs="Arial"/>
          <w:lang w:val="en-GB"/>
        </w:rPr>
        <w:t>,</w:t>
      </w:r>
      <w:r w:rsidR="00EB4249">
        <w:rPr>
          <w:rFonts w:ascii="Arial" w:hAnsi="Arial" w:cs="Arial"/>
          <w:lang w:val="en-GB"/>
        </w:rPr>
        <w:t xml:space="preserve"> and in cases where the Rules are lacking, the Federal High Court (Civil Procedure</w:t>
      </w:r>
      <w:r w:rsidR="003019BD">
        <w:rPr>
          <w:rFonts w:ascii="Arial" w:hAnsi="Arial" w:cs="Arial"/>
          <w:lang w:val="en-GB"/>
        </w:rPr>
        <w:t>) Rules</w:t>
      </w:r>
      <w:r w:rsidR="00EB4249">
        <w:rPr>
          <w:rFonts w:ascii="Arial" w:hAnsi="Arial" w:cs="Arial"/>
          <w:lang w:val="en-GB"/>
        </w:rPr>
        <w:t>.</w:t>
      </w:r>
      <w:r>
        <w:rPr>
          <w:rStyle w:val="FootnoteReference"/>
          <w:rFonts w:ascii="Arial" w:hAnsi="Arial" w:cs="Arial"/>
          <w:lang w:val="en-GB"/>
        </w:rPr>
        <w:footnoteReference w:id="3"/>
      </w:r>
    </w:p>
    <w:p w14:paraId="5CAF4C37" w14:textId="1FFE489D" w:rsidR="00DC2DF2" w:rsidRPr="007C48F7" w:rsidRDefault="003E536F" w:rsidP="007C48F7">
      <w:pPr>
        <w:pStyle w:val="ListParagraph"/>
        <w:numPr>
          <w:ilvl w:val="0"/>
          <w:numId w:val="4"/>
        </w:numPr>
        <w:spacing w:after="120" w:line="360" w:lineRule="auto"/>
        <w:ind w:hanging="720"/>
        <w:jc w:val="both"/>
        <w:rPr>
          <w:rFonts w:ascii="Arial" w:hAnsi="Arial" w:cs="Arial"/>
          <w:b/>
        </w:rPr>
      </w:pPr>
      <w:r w:rsidRPr="007C48F7">
        <w:rPr>
          <w:rFonts w:ascii="Arial" w:hAnsi="Arial" w:cs="Arial"/>
          <w:b/>
        </w:rPr>
        <w:t xml:space="preserve">A Cursory Examination of Rule 4 of the </w:t>
      </w:r>
      <w:r w:rsidR="00C20030" w:rsidRPr="007C48F7">
        <w:rPr>
          <w:rFonts w:ascii="Arial" w:hAnsi="Arial" w:cs="Arial"/>
          <w:b/>
        </w:rPr>
        <w:t>Winding-Up Rules</w:t>
      </w:r>
    </w:p>
    <w:p w14:paraId="4C0BCC65" w14:textId="145F8077" w:rsidR="00DC2DF2" w:rsidRPr="00DC2DF2" w:rsidRDefault="003E536F" w:rsidP="007C48F7">
      <w:pPr>
        <w:spacing w:after="120" w:line="360" w:lineRule="auto"/>
        <w:ind w:left="720"/>
        <w:jc w:val="both"/>
        <w:rPr>
          <w:rFonts w:ascii="Arial" w:hAnsi="Arial" w:cs="Arial"/>
          <w:lang w:val="en-GB"/>
        </w:rPr>
      </w:pPr>
      <w:r w:rsidRPr="00DC2DF2">
        <w:rPr>
          <w:rFonts w:ascii="Arial" w:hAnsi="Arial" w:cs="Arial"/>
          <w:lang w:val="en-GB"/>
        </w:rPr>
        <w:t>A key provision of the Winding-Up Rules stipulated in Rule 4</w:t>
      </w:r>
      <w:r w:rsidR="006F0746" w:rsidRPr="006F0746">
        <w:rPr>
          <w:rFonts w:ascii="Arial" w:hAnsi="Arial" w:cs="Arial"/>
          <w:b/>
          <w:lang w:val="en-GB"/>
        </w:rPr>
        <w:t xml:space="preserve"> </w:t>
      </w:r>
      <w:r w:rsidRPr="00DC2DF2">
        <w:rPr>
          <w:rFonts w:ascii="Arial" w:hAnsi="Arial" w:cs="Arial"/>
          <w:lang w:val="en-GB"/>
        </w:rPr>
        <w:t>thereof expressly prohibits ex-parte applications in winding-up proceedings by stipulating that every application in a winding-up action shall be by motion on notice.</w:t>
      </w:r>
      <w:r>
        <w:rPr>
          <w:rFonts w:ascii="Arial" w:hAnsi="Arial" w:cs="Arial"/>
          <w:vertAlign w:val="superscript"/>
          <w:lang w:val="en-GB"/>
        </w:rPr>
        <w:footnoteReference w:id="4"/>
      </w:r>
      <w:r w:rsidRPr="00DC2DF2">
        <w:rPr>
          <w:rFonts w:ascii="Arial" w:hAnsi="Arial" w:cs="Arial"/>
          <w:lang w:val="en-GB"/>
        </w:rPr>
        <w:t xml:space="preserve"> </w:t>
      </w:r>
      <w:r>
        <w:rPr>
          <w:rFonts w:ascii="Arial" w:hAnsi="Arial" w:cs="Arial"/>
          <w:lang w:val="en-GB"/>
        </w:rPr>
        <w:t>It provides thus:</w:t>
      </w:r>
    </w:p>
    <w:p w14:paraId="7BAD268A" w14:textId="05809363" w:rsidR="00DC2DF2" w:rsidRPr="00DC2DF2" w:rsidRDefault="003E536F" w:rsidP="007C48F7">
      <w:pPr>
        <w:spacing w:after="120" w:line="360" w:lineRule="auto"/>
        <w:ind w:left="1440" w:right="720"/>
        <w:jc w:val="both"/>
        <w:rPr>
          <w:rFonts w:ascii="Arial" w:hAnsi="Arial" w:cs="Arial"/>
          <w:lang w:val="en-GB"/>
        </w:rPr>
      </w:pPr>
      <w:r w:rsidRPr="00DC2DF2">
        <w:rPr>
          <w:rFonts w:ascii="Arial" w:hAnsi="Arial" w:cs="Arial"/>
          <w:lang w:val="en-GB"/>
        </w:rPr>
        <w:t xml:space="preserve">Every application in Court other than a petition </w:t>
      </w:r>
      <w:proofErr w:type="gramStart"/>
      <w:r w:rsidRPr="00DC2DF2">
        <w:rPr>
          <w:rFonts w:ascii="Arial" w:hAnsi="Arial" w:cs="Arial"/>
          <w:lang w:val="en-GB"/>
        </w:rPr>
        <w:t>shall be made</w:t>
      </w:r>
      <w:proofErr w:type="gramEnd"/>
      <w:r w:rsidRPr="00DC2DF2">
        <w:rPr>
          <w:rFonts w:ascii="Arial" w:hAnsi="Arial" w:cs="Arial"/>
          <w:lang w:val="en-GB"/>
        </w:rPr>
        <w:t xml:space="preserve"> by motion, </w:t>
      </w:r>
      <w:r w:rsidRPr="00DC2DF2">
        <w:rPr>
          <w:rFonts w:ascii="Arial" w:hAnsi="Arial" w:cs="Arial"/>
          <w:u w:val="single"/>
          <w:lang w:val="en-GB"/>
        </w:rPr>
        <w:t>notice of which shall be served on every person against whom an order is sought</w:t>
      </w:r>
      <w:r w:rsidRPr="00DC2DF2">
        <w:rPr>
          <w:rFonts w:ascii="Arial" w:hAnsi="Arial" w:cs="Arial"/>
          <w:lang w:val="en-GB"/>
        </w:rPr>
        <w:t xml:space="preserve"> not less than five clear days before the day named in the notice for hearing the motion. [Emphasis added]</w:t>
      </w:r>
    </w:p>
    <w:p w14:paraId="3CAC72E5" w14:textId="5C360BA7" w:rsidR="007F0147" w:rsidRPr="007F0147" w:rsidRDefault="003E536F" w:rsidP="007C48F7">
      <w:pPr>
        <w:spacing w:after="120" w:line="360" w:lineRule="auto"/>
        <w:ind w:left="720"/>
        <w:jc w:val="both"/>
        <w:rPr>
          <w:rFonts w:ascii="Arial" w:hAnsi="Arial" w:cs="Arial"/>
          <w:lang w:val="en-GB"/>
        </w:rPr>
      </w:pPr>
      <w:r>
        <w:rPr>
          <w:rFonts w:ascii="Arial" w:hAnsi="Arial" w:cs="Arial"/>
          <w:lang w:val="en-GB"/>
        </w:rPr>
        <w:t xml:space="preserve">By the tenor of </w:t>
      </w:r>
      <w:r w:rsidR="0056044D" w:rsidRPr="0056044D">
        <w:rPr>
          <w:rFonts w:ascii="Arial" w:hAnsi="Arial" w:cs="Arial"/>
          <w:lang w:val="en-GB"/>
        </w:rPr>
        <w:t>Rule 4</w:t>
      </w:r>
      <w:r w:rsidR="0056044D" w:rsidRPr="0056044D">
        <w:rPr>
          <w:rFonts w:ascii="Arial" w:hAnsi="Arial" w:cs="Arial"/>
          <w:b/>
          <w:lang w:val="en-GB"/>
        </w:rPr>
        <w:t xml:space="preserve"> </w:t>
      </w:r>
      <w:r w:rsidR="0056044D" w:rsidRPr="0056044D">
        <w:rPr>
          <w:rFonts w:ascii="Arial" w:hAnsi="Arial" w:cs="Arial"/>
          <w:lang w:val="en-GB"/>
        </w:rPr>
        <w:t>of the Winding-Up Rules</w:t>
      </w:r>
      <w:r>
        <w:rPr>
          <w:rFonts w:ascii="Arial" w:hAnsi="Arial" w:cs="Arial"/>
          <w:lang w:val="en-GB"/>
        </w:rPr>
        <w:t xml:space="preserve">, particularly the usage of the word “shall,” it is clear that the Rule mandates the service of every application on the </w:t>
      </w:r>
      <w:r>
        <w:rPr>
          <w:rFonts w:ascii="Arial" w:hAnsi="Arial" w:cs="Arial"/>
          <w:lang w:val="en-GB"/>
        </w:rPr>
        <w:lastRenderedPageBreak/>
        <w:t xml:space="preserve">respondent(s) and any deviation from the rule would be enough to </w:t>
      </w:r>
      <w:bookmarkStart w:id="0" w:name="_GoBack"/>
      <w:r>
        <w:rPr>
          <w:rFonts w:ascii="Arial" w:hAnsi="Arial" w:cs="Arial"/>
          <w:lang w:val="en-GB"/>
        </w:rPr>
        <w:t>vitiate the proceedings.</w:t>
      </w:r>
      <w:bookmarkEnd w:id="0"/>
      <w:r>
        <w:rPr>
          <w:rStyle w:val="FootnoteReference"/>
          <w:rFonts w:ascii="Arial" w:hAnsi="Arial" w:cs="Arial"/>
          <w:lang w:val="en-GB"/>
        </w:rPr>
        <w:footnoteReference w:id="5"/>
      </w:r>
      <w:r>
        <w:rPr>
          <w:rFonts w:ascii="Arial" w:hAnsi="Arial" w:cs="Arial"/>
          <w:lang w:val="en-GB"/>
        </w:rPr>
        <w:t xml:space="preserve"> In the case of </w:t>
      </w:r>
      <w:proofErr w:type="spellStart"/>
      <w:r w:rsidRPr="007F0147">
        <w:rPr>
          <w:rFonts w:ascii="Arial" w:hAnsi="Arial" w:cs="Arial"/>
          <w:b/>
          <w:lang w:val="en-GB"/>
        </w:rPr>
        <w:t>Argiji</w:t>
      </w:r>
      <w:proofErr w:type="spellEnd"/>
      <w:r w:rsidRPr="007F0147">
        <w:rPr>
          <w:rFonts w:ascii="Arial" w:hAnsi="Arial" w:cs="Arial"/>
          <w:b/>
          <w:lang w:val="en-GB"/>
        </w:rPr>
        <w:t xml:space="preserve"> Properties Ltd v. </w:t>
      </w:r>
      <w:proofErr w:type="spellStart"/>
      <w:r w:rsidRPr="007F0147">
        <w:rPr>
          <w:rFonts w:ascii="Arial" w:hAnsi="Arial" w:cs="Arial"/>
          <w:b/>
          <w:lang w:val="en-GB"/>
        </w:rPr>
        <w:t>Birni</w:t>
      </w:r>
      <w:proofErr w:type="spellEnd"/>
      <w:r w:rsidRPr="007F0147">
        <w:rPr>
          <w:rFonts w:ascii="Arial" w:hAnsi="Arial" w:cs="Arial"/>
          <w:b/>
          <w:lang w:val="en-GB"/>
        </w:rPr>
        <w:t xml:space="preserve"> &amp; Anor</w:t>
      </w:r>
      <w:r w:rsidR="00052A10">
        <w:rPr>
          <w:rFonts w:ascii="Arial" w:hAnsi="Arial" w:cs="Arial"/>
          <w:b/>
          <w:lang w:val="en-GB"/>
        </w:rPr>
        <w:t>.,</w:t>
      </w:r>
      <w:r>
        <w:rPr>
          <w:rStyle w:val="FootnoteReference"/>
          <w:rFonts w:ascii="Arial" w:hAnsi="Arial" w:cs="Arial"/>
          <w:lang w:val="en-GB"/>
        </w:rPr>
        <w:footnoteReference w:id="6"/>
      </w:r>
      <w:r>
        <w:rPr>
          <w:rFonts w:ascii="Arial" w:hAnsi="Arial" w:cs="Arial"/>
          <w:lang w:val="en-GB"/>
        </w:rPr>
        <w:t xml:space="preserve"> per Hassan JCA pronounced on the effect </w:t>
      </w:r>
      <w:r w:rsidRPr="007F0147">
        <w:rPr>
          <w:rFonts w:ascii="Arial" w:hAnsi="Arial" w:cs="Arial"/>
          <w:lang w:val="en-GB"/>
        </w:rPr>
        <w:t xml:space="preserve">of failure to comply with the provisions </w:t>
      </w:r>
      <w:r w:rsidR="0056044D" w:rsidRPr="0056044D">
        <w:rPr>
          <w:rFonts w:ascii="Arial" w:hAnsi="Arial" w:cs="Arial"/>
          <w:lang w:val="en-GB"/>
        </w:rPr>
        <w:t>Rule 4</w:t>
      </w:r>
      <w:r w:rsidR="0056044D" w:rsidRPr="0056044D">
        <w:rPr>
          <w:rFonts w:ascii="Arial" w:hAnsi="Arial" w:cs="Arial"/>
          <w:b/>
          <w:lang w:val="en-GB"/>
        </w:rPr>
        <w:t xml:space="preserve"> </w:t>
      </w:r>
      <w:r w:rsidR="0056044D" w:rsidRPr="0056044D">
        <w:rPr>
          <w:rFonts w:ascii="Arial" w:hAnsi="Arial" w:cs="Arial"/>
          <w:lang w:val="en-GB"/>
        </w:rPr>
        <w:t xml:space="preserve">of the Winding-Up Rules </w:t>
      </w:r>
      <w:r w:rsidRPr="007F0147">
        <w:rPr>
          <w:rFonts w:ascii="Arial" w:hAnsi="Arial" w:cs="Arial"/>
          <w:lang w:val="en-GB"/>
        </w:rPr>
        <w:t>on the jurisdiction</w:t>
      </w:r>
      <w:r w:rsidR="0056044D">
        <w:rPr>
          <w:rFonts w:ascii="Arial" w:hAnsi="Arial" w:cs="Arial"/>
          <w:lang w:val="en-GB"/>
        </w:rPr>
        <w:t xml:space="preserve"> </w:t>
      </w:r>
      <w:r w:rsidR="003C4C48">
        <w:rPr>
          <w:rFonts w:ascii="Arial" w:hAnsi="Arial" w:cs="Arial"/>
          <w:lang w:val="en-GB"/>
        </w:rPr>
        <w:t>of an adjudicating court</w:t>
      </w:r>
      <w:r>
        <w:rPr>
          <w:rFonts w:ascii="Arial" w:hAnsi="Arial" w:cs="Arial"/>
          <w:lang w:val="en-GB"/>
        </w:rPr>
        <w:t>:</w:t>
      </w:r>
    </w:p>
    <w:p w14:paraId="3EC09149" w14:textId="0C7F6213" w:rsidR="007F0147" w:rsidRDefault="003E536F" w:rsidP="00052A10">
      <w:pPr>
        <w:spacing w:after="120" w:line="240" w:lineRule="auto"/>
        <w:ind w:left="1440" w:right="720"/>
        <w:jc w:val="both"/>
        <w:rPr>
          <w:rFonts w:ascii="Arial" w:hAnsi="Arial" w:cs="Arial"/>
          <w:lang w:val="en-GB"/>
        </w:rPr>
      </w:pPr>
      <w:r w:rsidRPr="003C4C48">
        <w:rPr>
          <w:rFonts w:ascii="Arial" w:hAnsi="Arial" w:cs="Arial"/>
          <w:lang w:val="en-GB"/>
        </w:rPr>
        <w:t xml:space="preserve">… </w:t>
      </w:r>
      <w:r w:rsidRPr="00741F75">
        <w:rPr>
          <w:rFonts w:ascii="Arial" w:hAnsi="Arial" w:cs="Arial"/>
          <w:lang w:val="en-GB"/>
        </w:rPr>
        <w:t xml:space="preserve">In other words, in a petition for winding up of a company, save for the petition itself, any application filed before the Court in the proceedings shall be by motion on notice to the respondent and served on the respondent not less than five (5) days before the hearing of the motion by the Court. It </w:t>
      </w:r>
      <w:proofErr w:type="gramStart"/>
      <w:r w:rsidRPr="00741F75">
        <w:rPr>
          <w:rFonts w:ascii="Arial" w:hAnsi="Arial" w:cs="Arial"/>
          <w:lang w:val="en-GB"/>
        </w:rPr>
        <w:t>goes without saying</w:t>
      </w:r>
      <w:proofErr w:type="gramEnd"/>
      <w:r w:rsidRPr="00741F75">
        <w:rPr>
          <w:rFonts w:ascii="Arial" w:hAnsi="Arial" w:cs="Arial"/>
          <w:lang w:val="en-GB"/>
        </w:rPr>
        <w:t xml:space="preserve"> that the provision is clear, unequivocal and bereft of any ambiguity and it affords no discretion on the part of the applicant. Where, as in the instant case, the provision of Rule 4 was not complied with, the application ex-parte is not only incompetent, the Court lacks the requisite jurisdiction to hear, determine and grant the reliefs sought as per the application filed in default of Rule 4 of the Companies winding up Rules…</w:t>
      </w:r>
      <w:r>
        <w:rPr>
          <w:rFonts w:ascii="Arial" w:hAnsi="Arial" w:cs="Arial"/>
          <w:lang w:val="en-GB"/>
        </w:rPr>
        <w:t xml:space="preserve"> </w:t>
      </w:r>
      <w:r w:rsidRPr="007F0147">
        <w:rPr>
          <w:rFonts w:ascii="Arial" w:hAnsi="Arial" w:cs="Arial"/>
          <w:lang w:val="en-GB"/>
        </w:rPr>
        <w:t>Every Court has jurisdiction to enquire into whether it has jurisdiction over any matter or not, and if it finds that it does not have the requisite jurisdiction, it takes its hands off, and the matter ends there, because where a Court has no jurisdiction, the juridical basis for the exercise of po</w:t>
      </w:r>
      <w:r>
        <w:rPr>
          <w:rFonts w:ascii="Arial" w:hAnsi="Arial" w:cs="Arial"/>
          <w:lang w:val="en-GB"/>
        </w:rPr>
        <w:t>wer over such matter is absent..</w:t>
      </w:r>
      <w:r w:rsidRPr="007F0147">
        <w:rPr>
          <w:rFonts w:ascii="Arial" w:hAnsi="Arial" w:cs="Arial"/>
          <w:lang w:val="en-GB"/>
        </w:rPr>
        <w:t xml:space="preserve">. </w:t>
      </w:r>
      <w:r w:rsidRPr="00741F75">
        <w:rPr>
          <w:rFonts w:ascii="Arial" w:hAnsi="Arial" w:cs="Arial"/>
          <w:lang w:val="en-GB"/>
        </w:rPr>
        <w:t xml:space="preserve">In the instant case, Rule 4 of the Winding </w:t>
      </w:r>
      <w:proofErr w:type="gramStart"/>
      <w:r w:rsidRPr="00741F75">
        <w:rPr>
          <w:rFonts w:ascii="Arial" w:hAnsi="Arial" w:cs="Arial"/>
          <w:lang w:val="en-GB"/>
        </w:rPr>
        <w:t>Up</w:t>
      </w:r>
      <w:proofErr w:type="gramEnd"/>
      <w:r w:rsidRPr="00741F75">
        <w:rPr>
          <w:rFonts w:ascii="Arial" w:hAnsi="Arial" w:cs="Arial"/>
          <w:lang w:val="en-GB"/>
        </w:rPr>
        <w:t xml:space="preserve"> Rules, 2001 provides for application of this nature to be on notice. </w:t>
      </w:r>
      <w:proofErr w:type="gramStart"/>
      <w:r w:rsidRPr="00741F75">
        <w:rPr>
          <w:rFonts w:ascii="Arial" w:hAnsi="Arial" w:cs="Arial"/>
          <w:lang w:val="en-GB"/>
        </w:rPr>
        <w:t>But</w:t>
      </w:r>
      <w:proofErr w:type="gramEnd"/>
      <w:r w:rsidRPr="00741F75">
        <w:rPr>
          <w:rFonts w:ascii="Arial" w:hAnsi="Arial" w:cs="Arial"/>
          <w:lang w:val="en-GB"/>
        </w:rPr>
        <w:t xml:space="preserve"> the respondents brought the application ex-parte which is in contravention of Rules 4 of the Winding Up Rules, having not been initiated with due process of law which rendered the ex-parte motion incompetent and the ruling delivered by the Court granting the order ex-parte is null and void with no effect - </w:t>
      </w:r>
      <w:proofErr w:type="spellStart"/>
      <w:r w:rsidRPr="00741F75">
        <w:rPr>
          <w:rFonts w:ascii="Arial" w:hAnsi="Arial" w:cs="Arial"/>
          <w:lang w:val="en-GB"/>
        </w:rPr>
        <w:t>Madukolu</w:t>
      </w:r>
      <w:proofErr w:type="spellEnd"/>
      <w:r w:rsidRPr="00741F75">
        <w:rPr>
          <w:rFonts w:ascii="Arial" w:hAnsi="Arial" w:cs="Arial"/>
          <w:lang w:val="en-GB"/>
        </w:rPr>
        <w:t xml:space="preserve"> Vs </w:t>
      </w:r>
      <w:proofErr w:type="spellStart"/>
      <w:r w:rsidRPr="00741F75">
        <w:rPr>
          <w:rFonts w:ascii="Arial" w:hAnsi="Arial" w:cs="Arial"/>
          <w:lang w:val="en-GB"/>
        </w:rPr>
        <w:t>Nkemdilim</w:t>
      </w:r>
      <w:proofErr w:type="spellEnd"/>
      <w:r w:rsidRPr="00741F75">
        <w:rPr>
          <w:rFonts w:ascii="Arial" w:hAnsi="Arial" w:cs="Arial"/>
          <w:lang w:val="en-GB"/>
        </w:rPr>
        <w:t xml:space="preserve"> (supra).</w:t>
      </w:r>
      <w:r w:rsidRPr="007F0147">
        <w:rPr>
          <w:rFonts w:ascii="Arial" w:hAnsi="Arial" w:cs="Arial"/>
          <w:u w:val="single"/>
          <w:lang w:val="en-GB"/>
        </w:rPr>
        <w:t xml:space="preserve"> The trial Court erred when it held that the winding up proceedings are taken on notice but still went ahead to grant the order Ex-parte, thus rend</w:t>
      </w:r>
      <w:r w:rsidR="0089194B">
        <w:rPr>
          <w:rFonts w:ascii="Arial" w:hAnsi="Arial" w:cs="Arial"/>
          <w:u w:val="single"/>
          <w:lang w:val="en-GB"/>
        </w:rPr>
        <w:t>er</w:t>
      </w:r>
      <w:r w:rsidRPr="007F0147">
        <w:rPr>
          <w:rFonts w:ascii="Arial" w:hAnsi="Arial" w:cs="Arial"/>
          <w:u w:val="single"/>
          <w:lang w:val="en-GB"/>
        </w:rPr>
        <w:t xml:space="preserve">ing the order made without jurisdiction and by </w:t>
      </w:r>
      <w:proofErr w:type="gramStart"/>
      <w:r w:rsidRPr="007F0147">
        <w:rPr>
          <w:rFonts w:ascii="Arial" w:hAnsi="Arial" w:cs="Arial"/>
          <w:u w:val="single"/>
          <w:lang w:val="en-GB"/>
        </w:rPr>
        <w:t>extension</w:t>
      </w:r>
      <w:proofErr w:type="gramEnd"/>
      <w:r w:rsidRPr="007F0147">
        <w:rPr>
          <w:rFonts w:ascii="Arial" w:hAnsi="Arial" w:cs="Arial"/>
          <w:u w:val="single"/>
          <w:lang w:val="en-GB"/>
        </w:rPr>
        <w:t xml:space="preserve"> this Court is also deprived of jurisdiction to entertain the appeal. It is my view that whether the appellant is disposing or transferring the assets of the company, it must be heard before any decision affecting its rights and obligations is made as provided by Section 36</w:t>
      </w:r>
      <w:r w:rsidR="001E05E9">
        <w:rPr>
          <w:rFonts w:ascii="Arial" w:hAnsi="Arial" w:cs="Arial"/>
          <w:u w:val="single"/>
          <w:lang w:val="en-GB"/>
        </w:rPr>
        <w:t xml:space="preserve"> </w:t>
      </w:r>
      <w:r w:rsidRPr="007F0147">
        <w:rPr>
          <w:rFonts w:ascii="Arial" w:hAnsi="Arial" w:cs="Arial"/>
          <w:u w:val="single"/>
          <w:lang w:val="en-GB"/>
        </w:rPr>
        <w:t>(1) of the 1999 Constitution (as amended).</w:t>
      </w:r>
      <w:r>
        <w:rPr>
          <w:rStyle w:val="FootnoteReference"/>
          <w:rFonts w:ascii="Arial" w:hAnsi="Arial" w:cs="Arial"/>
          <w:u w:val="single"/>
          <w:lang w:val="en-GB"/>
        </w:rPr>
        <w:footnoteReference w:id="7"/>
      </w:r>
      <w:r>
        <w:rPr>
          <w:rFonts w:ascii="Arial" w:hAnsi="Arial" w:cs="Arial"/>
          <w:u w:val="single"/>
          <w:lang w:val="en-GB"/>
        </w:rPr>
        <w:t xml:space="preserve"> </w:t>
      </w:r>
      <w:r>
        <w:rPr>
          <w:rFonts w:ascii="Arial" w:hAnsi="Arial" w:cs="Arial"/>
          <w:lang w:val="en-GB"/>
        </w:rPr>
        <w:t>[Emphasis added].</w:t>
      </w:r>
    </w:p>
    <w:p w14:paraId="7C926C0A" w14:textId="2195C856" w:rsidR="00394955" w:rsidRDefault="003E536F" w:rsidP="007C48F7">
      <w:pPr>
        <w:spacing w:after="120" w:line="360" w:lineRule="auto"/>
        <w:ind w:left="720" w:right="26"/>
        <w:jc w:val="both"/>
        <w:rPr>
          <w:rFonts w:ascii="Arial" w:hAnsi="Arial" w:cs="Arial"/>
          <w:lang w:val="en-GB"/>
        </w:rPr>
      </w:pPr>
      <w:r>
        <w:rPr>
          <w:rFonts w:ascii="Arial" w:hAnsi="Arial" w:cs="Arial"/>
          <w:lang w:val="en-GB"/>
        </w:rPr>
        <w:t xml:space="preserve">Essentially, the </w:t>
      </w:r>
      <w:r w:rsidRPr="003C4C48">
        <w:rPr>
          <w:rFonts w:ascii="Arial" w:hAnsi="Arial" w:cs="Arial"/>
          <w:i/>
          <w:lang w:val="en-GB"/>
        </w:rPr>
        <w:t xml:space="preserve">raison </w:t>
      </w:r>
      <w:proofErr w:type="spellStart"/>
      <w:r w:rsidRPr="003C4C48">
        <w:rPr>
          <w:rFonts w:ascii="Arial" w:hAnsi="Arial" w:cs="Arial"/>
          <w:i/>
          <w:lang w:val="en-GB"/>
        </w:rPr>
        <w:t>d</w:t>
      </w:r>
      <w:r w:rsidR="001E05E9" w:rsidRPr="003C4C48">
        <w:rPr>
          <w:rFonts w:ascii="Arial" w:hAnsi="Arial" w:cs="Arial"/>
          <w:i/>
          <w:lang w:val="en-GB"/>
        </w:rPr>
        <w:t>’</w:t>
      </w:r>
      <w:r w:rsidRPr="003C4C48">
        <w:rPr>
          <w:rFonts w:ascii="Arial" w:hAnsi="Arial" w:cs="Arial"/>
          <w:i/>
          <w:lang w:val="en-GB"/>
        </w:rPr>
        <w:t>etre</w:t>
      </w:r>
      <w:proofErr w:type="spellEnd"/>
      <w:r>
        <w:rPr>
          <w:rFonts w:ascii="Arial" w:hAnsi="Arial" w:cs="Arial"/>
          <w:lang w:val="en-GB"/>
        </w:rPr>
        <w:t xml:space="preserve"> of Rule 4 of the Winding-Up Rule as interpreted in a long line of decided authorities, including </w:t>
      </w:r>
      <w:proofErr w:type="spellStart"/>
      <w:r w:rsidRPr="007F0147">
        <w:rPr>
          <w:rFonts w:ascii="Arial" w:hAnsi="Arial" w:cs="Arial"/>
          <w:b/>
          <w:lang w:val="en-GB"/>
        </w:rPr>
        <w:t>Argiji</w:t>
      </w:r>
      <w:proofErr w:type="spellEnd"/>
      <w:r w:rsidRPr="007F0147">
        <w:rPr>
          <w:rFonts w:ascii="Arial" w:hAnsi="Arial" w:cs="Arial"/>
          <w:b/>
          <w:lang w:val="en-GB"/>
        </w:rPr>
        <w:t xml:space="preserve"> Properties </w:t>
      </w:r>
      <w:r w:rsidR="00654EAF" w:rsidRPr="007F0147">
        <w:rPr>
          <w:rFonts w:ascii="Arial" w:hAnsi="Arial" w:cs="Arial"/>
          <w:b/>
          <w:lang w:val="en-GB"/>
        </w:rPr>
        <w:t>Ltd</w:t>
      </w:r>
      <w:r w:rsidR="00654EAF">
        <w:rPr>
          <w:rFonts w:ascii="Arial" w:hAnsi="Arial" w:cs="Arial"/>
          <w:b/>
          <w:lang w:val="en-GB"/>
        </w:rPr>
        <w:t>.’s</w:t>
      </w:r>
      <w:r>
        <w:rPr>
          <w:rFonts w:ascii="Arial" w:hAnsi="Arial" w:cs="Arial"/>
          <w:b/>
          <w:lang w:val="en-GB"/>
        </w:rPr>
        <w:t xml:space="preserve"> case (supra)</w:t>
      </w:r>
      <w:r>
        <w:rPr>
          <w:rFonts w:ascii="Arial" w:hAnsi="Arial" w:cs="Arial"/>
          <w:lang w:val="en-GB"/>
        </w:rPr>
        <w:t xml:space="preserve">, is the necessity of allowing the respondent company an opportunity to </w:t>
      </w:r>
      <w:proofErr w:type="gramStart"/>
      <w:r>
        <w:rPr>
          <w:rFonts w:ascii="Arial" w:hAnsi="Arial" w:cs="Arial"/>
          <w:lang w:val="en-GB"/>
        </w:rPr>
        <w:t>be heard</w:t>
      </w:r>
      <w:proofErr w:type="gramEnd"/>
      <w:r>
        <w:rPr>
          <w:rFonts w:ascii="Arial" w:hAnsi="Arial" w:cs="Arial"/>
          <w:lang w:val="en-GB"/>
        </w:rPr>
        <w:t>, given the potentially paralyzing impact of such proceedings.</w:t>
      </w:r>
      <w:r>
        <w:rPr>
          <w:rStyle w:val="FootnoteReference"/>
          <w:rFonts w:ascii="Arial" w:hAnsi="Arial" w:cs="Arial"/>
          <w:lang w:val="en-GB"/>
        </w:rPr>
        <w:footnoteReference w:id="8"/>
      </w:r>
    </w:p>
    <w:p w14:paraId="1BC6CC56" w14:textId="77777777" w:rsidR="00052A10" w:rsidRPr="007F0147" w:rsidRDefault="00052A10" w:rsidP="007C48F7">
      <w:pPr>
        <w:spacing w:after="120" w:line="360" w:lineRule="auto"/>
        <w:ind w:left="720" w:right="26"/>
        <w:jc w:val="both"/>
        <w:rPr>
          <w:rFonts w:ascii="Arial" w:hAnsi="Arial" w:cs="Arial"/>
          <w:lang w:val="en-GB"/>
        </w:rPr>
      </w:pPr>
    </w:p>
    <w:p w14:paraId="1847C9A0" w14:textId="4978BCF7" w:rsidR="00546480" w:rsidRPr="007C48F7" w:rsidRDefault="003E536F" w:rsidP="007C48F7">
      <w:pPr>
        <w:pStyle w:val="ListParagraph"/>
        <w:numPr>
          <w:ilvl w:val="0"/>
          <w:numId w:val="4"/>
        </w:numPr>
        <w:spacing w:after="120" w:line="360" w:lineRule="auto"/>
        <w:ind w:hanging="720"/>
        <w:jc w:val="both"/>
        <w:rPr>
          <w:rFonts w:ascii="Arial" w:hAnsi="Arial" w:cs="Arial"/>
          <w:b/>
        </w:rPr>
      </w:pPr>
      <w:r w:rsidRPr="007C48F7">
        <w:rPr>
          <w:rFonts w:ascii="Arial" w:hAnsi="Arial" w:cs="Arial"/>
          <w:b/>
        </w:rPr>
        <w:t>Exceptions</w:t>
      </w:r>
      <w:r w:rsidR="00BB785B" w:rsidRPr="007C48F7">
        <w:rPr>
          <w:rFonts w:ascii="Arial" w:hAnsi="Arial" w:cs="Arial"/>
          <w:b/>
        </w:rPr>
        <w:t xml:space="preserve"> to </w:t>
      </w:r>
      <w:r w:rsidRPr="007C48F7">
        <w:rPr>
          <w:rFonts w:ascii="Arial" w:hAnsi="Arial" w:cs="Arial"/>
          <w:b/>
        </w:rPr>
        <w:t xml:space="preserve">Rule 4 of the </w:t>
      </w:r>
      <w:r w:rsidR="00D46F60" w:rsidRPr="007C48F7">
        <w:rPr>
          <w:rFonts w:ascii="Arial" w:hAnsi="Arial" w:cs="Arial"/>
          <w:b/>
        </w:rPr>
        <w:t>Winding-Up Rules: the Personal or Direct Impact Test</w:t>
      </w:r>
    </w:p>
    <w:p w14:paraId="150EBAB2" w14:textId="0A334E9B" w:rsidR="0092178E" w:rsidRDefault="003E536F" w:rsidP="007C48F7">
      <w:pPr>
        <w:spacing w:after="120" w:line="360" w:lineRule="auto"/>
        <w:ind w:left="720"/>
        <w:jc w:val="both"/>
        <w:rPr>
          <w:rFonts w:ascii="Arial" w:hAnsi="Arial" w:cs="Arial"/>
          <w:lang w:val="en-GB"/>
        </w:rPr>
      </w:pPr>
      <w:proofErr w:type="gramStart"/>
      <w:r w:rsidRPr="00654EAF">
        <w:rPr>
          <w:rFonts w:ascii="Arial" w:hAnsi="Arial" w:cs="Arial"/>
          <w:lang w:val="en-GB"/>
        </w:rPr>
        <w:lastRenderedPageBreak/>
        <w:t>In winding-up proceedings, prayers for orders of injunctions, appointment of a provisional liquidator or special manager, leave to advertise the petition, stay of proceedings, substitution of petitioner(s), leave to appear or defend, dismissal of petition, substituted service, extension of time to complete the winding up, leave to make a call on the contributories of a company, taking possession of properties, etc., are common.</w:t>
      </w:r>
      <w:proofErr w:type="gramEnd"/>
      <w:r>
        <w:rPr>
          <w:rFonts w:ascii="Arial" w:hAnsi="Arial" w:cs="Arial"/>
          <w:lang w:val="en-GB"/>
        </w:rPr>
        <w:t xml:space="preserve"> Some of </w:t>
      </w:r>
      <w:r w:rsidR="003762A9">
        <w:rPr>
          <w:rFonts w:ascii="Arial" w:hAnsi="Arial" w:cs="Arial"/>
          <w:lang w:val="en-GB"/>
        </w:rPr>
        <w:t>these</w:t>
      </w:r>
      <w:r>
        <w:rPr>
          <w:rFonts w:ascii="Arial" w:hAnsi="Arial" w:cs="Arial"/>
          <w:lang w:val="en-GB"/>
        </w:rPr>
        <w:t xml:space="preserve"> applications, such as substituted service, must as a legal necessity </w:t>
      </w:r>
      <w:proofErr w:type="gramStart"/>
      <w:r>
        <w:rPr>
          <w:rFonts w:ascii="Arial" w:hAnsi="Arial" w:cs="Arial"/>
          <w:lang w:val="en-GB"/>
        </w:rPr>
        <w:t>be made</w:t>
      </w:r>
      <w:proofErr w:type="gramEnd"/>
      <w:r>
        <w:rPr>
          <w:rFonts w:ascii="Arial" w:hAnsi="Arial" w:cs="Arial"/>
          <w:lang w:val="en-GB"/>
        </w:rPr>
        <w:t xml:space="preserve"> ex-parte. </w:t>
      </w:r>
      <w:r w:rsidR="00EB4249">
        <w:rPr>
          <w:rFonts w:ascii="Arial" w:hAnsi="Arial" w:cs="Arial"/>
          <w:lang w:val="en-GB"/>
        </w:rPr>
        <w:t>Th</w:t>
      </w:r>
      <w:r w:rsidR="00697A67">
        <w:rPr>
          <w:rFonts w:ascii="Arial" w:hAnsi="Arial" w:cs="Arial"/>
          <w:lang w:val="en-GB"/>
        </w:rPr>
        <w:t xml:space="preserve">e </w:t>
      </w:r>
      <w:r w:rsidR="00DC0E72">
        <w:rPr>
          <w:rFonts w:ascii="Arial" w:hAnsi="Arial" w:cs="Arial"/>
          <w:lang w:val="en-GB"/>
        </w:rPr>
        <w:t xml:space="preserve">question then arises on whether </w:t>
      </w:r>
      <w:r w:rsidR="00697A67">
        <w:rPr>
          <w:rFonts w:ascii="Arial" w:hAnsi="Arial" w:cs="Arial"/>
          <w:lang w:val="en-GB"/>
        </w:rPr>
        <w:t xml:space="preserve">Rule </w:t>
      </w:r>
      <w:r w:rsidR="002E3A96">
        <w:rPr>
          <w:rFonts w:ascii="Arial" w:hAnsi="Arial" w:cs="Arial"/>
          <w:lang w:val="en-GB"/>
        </w:rPr>
        <w:t xml:space="preserve">4 </w:t>
      </w:r>
      <w:r>
        <w:rPr>
          <w:rFonts w:ascii="Arial" w:hAnsi="Arial" w:cs="Arial"/>
          <w:lang w:val="en-GB"/>
        </w:rPr>
        <w:t xml:space="preserve">of the Winding-Up Rules </w:t>
      </w:r>
      <w:r w:rsidR="00B052CB">
        <w:rPr>
          <w:rFonts w:ascii="Arial" w:hAnsi="Arial" w:cs="Arial"/>
          <w:lang w:val="en-GB"/>
        </w:rPr>
        <w:t xml:space="preserve">prescribes a blanket prohibition and </w:t>
      </w:r>
      <w:r w:rsidR="00697A67">
        <w:rPr>
          <w:rFonts w:ascii="Arial" w:hAnsi="Arial" w:cs="Arial"/>
          <w:lang w:val="en-GB"/>
        </w:rPr>
        <w:t xml:space="preserve">categorically forbids all or any ex-parte application in winding-up proceedings. </w:t>
      </w:r>
    </w:p>
    <w:p w14:paraId="4885A308" w14:textId="3A540CFA" w:rsidR="00C253F8" w:rsidRDefault="003E536F" w:rsidP="007C48F7">
      <w:pPr>
        <w:spacing w:after="120" w:line="360" w:lineRule="auto"/>
        <w:ind w:left="720"/>
        <w:jc w:val="both"/>
        <w:rPr>
          <w:rFonts w:ascii="Arial" w:hAnsi="Arial" w:cs="Arial"/>
        </w:rPr>
      </w:pPr>
      <w:proofErr w:type="gramStart"/>
      <w:r>
        <w:rPr>
          <w:rFonts w:ascii="Arial" w:hAnsi="Arial" w:cs="Arial"/>
          <w:lang w:val="en-GB"/>
        </w:rPr>
        <w:t xml:space="preserve">While the </w:t>
      </w:r>
      <w:r w:rsidR="0092178E">
        <w:rPr>
          <w:rFonts w:ascii="Arial" w:hAnsi="Arial" w:cs="Arial"/>
          <w:lang w:val="en-GB"/>
        </w:rPr>
        <w:t>C</w:t>
      </w:r>
      <w:r>
        <w:rPr>
          <w:rFonts w:ascii="Arial" w:hAnsi="Arial" w:cs="Arial"/>
          <w:lang w:val="en-GB"/>
        </w:rPr>
        <w:t>ourt</w:t>
      </w:r>
      <w:r w:rsidR="0092178E">
        <w:rPr>
          <w:rFonts w:ascii="Arial" w:hAnsi="Arial" w:cs="Arial"/>
          <w:lang w:val="en-GB"/>
        </w:rPr>
        <w:t xml:space="preserve"> of Appeal</w:t>
      </w:r>
      <w:r>
        <w:rPr>
          <w:rFonts w:ascii="Arial" w:hAnsi="Arial" w:cs="Arial"/>
          <w:lang w:val="en-GB"/>
        </w:rPr>
        <w:t xml:space="preserve"> was right to have dismissed the </w:t>
      </w:r>
      <w:r w:rsidR="0092178E">
        <w:rPr>
          <w:rFonts w:ascii="Arial" w:hAnsi="Arial" w:cs="Arial"/>
          <w:lang w:val="en-GB"/>
        </w:rPr>
        <w:t xml:space="preserve">applicant’s motion </w:t>
      </w:r>
      <w:r w:rsidR="0092178E" w:rsidRPr="0092178E">
        <w:rPr>
          <w:rFonts w:ascii="Arial" w:hAnsi="Arial" w:cs="Arial"/>
          <w:i/>
          <w:lang w:val="en-GB"/>
        </w:rPr>
        <w:t>ex</w:t>
      </w:r>
      <w:r w:rsidR="00F1333F">
        <w:rPr>
          <w:rFonts w:ascii="Arial" w:hAnsi="Arial" w:cs="Arial"/>
          <w:i/>
          <w:lang w:val="en-GB"/>
        </w:rPr>
        <w:t xml:space="preserve"> </w:t>
      </w:r>
      <w:r w:rsidR="0092178E" w:rsidRPr="0092178E">
        <w:rPr>
          <w:rFonts w:ascii="Arial" w:hAnsi="Arial" w:cs="Arial"/>
          <w:i/>
          <w:lang w:val="en-GB"/>
        </w:rPr>
        <w:t>parte</w:t>
      </w:r>
      <w:r w:rsidR="0092178E">
        <w:rPr>
          <w:rFonts w:ascii="Arial" w:hAnsi="Arial" w:cs="Arial"/>
          <w:lang w:val="en-GB"/>
        </w:rPr>
        <w:t xml:space="preserve"> in</w:t>
      </w:r>
      <w:r w:rsidR="0092178E" w:rsidRPr="0092178E">
        <w:rPr>
          <w:rFonts w:ascii="Arial" w:hAnsi="Arial" w:cs="Arial"/>
          <w:lang w:val="en-GB"/>
        </w:rPr>
        <w:t xml:space="preserve"> </w:t>
      </w:r>
      <w:proofErr w:type="spellStart"/>
      <w:r w:rsidR="0092178E" w:rsidRPr="0092178E">
        <w:rPr>
          <w:rFonts w:ascii="Arial" w:hAnsi="Arial" w:cs="Arial"/>
          <w:b/>
          <w:lang w:val="en-GB"/>
        </w:rPr>
        <w:t>Argiji</w:t>
      </w:r>
      <w:proofErr w:type="spellEnd"/>
      <w:r w:rsidR="0092178E" w:rsidRPr="0092178E">
        <w:rPr>
          <w:rFonts w:ascii="Arial" w:hAnsi="Arial" w:cs="Arial"/>
          <w:b/>
          <w:lang w:val="en-GB"/>
        </w:rPr>
        <w:t xml:space="preserve"> Properties Ltd</w:t>
      </w:r>
      <w:r w:rsidR="00F1333F">
        <w:rPr>
          <w:rFonts w:ascii="Arial" w:hAnsi="Arial" w:cs="Arial"/>
          <w:b/>
          <w:lang w:val="en-GB"/>
        </w:rPr>
        <w:t>.</w:t>
      </w:r>
      <w:r w:rsidR="0092178E" w:rsidRPr="0092178E">
        <w:rPr>
          <w:rFonts w:ascii="Arial" w:hAnsi="Arial" w:cs="Arial"/>
          <w:b/>
          <w:lang w:val="en-GB"/>
        </w:rPr>
        <w:t>’s case</w:t>
      </w:r>
      <w:r>
        <w:rPr>
          <w:rStyle w:val="FootnoteReference"/>
          <w:rFonts w:ascii="Arial" w:hAnsi="Arial" w:cs="Arial"/>
          <w:lang w:val="en-GB"/>
        </w:rPr>
        <w:footnoteReference w:id="9"/>
      </w:r>
      <w:r w:rsidR="00DD1C40" w:rsidRPr="00DD1C40">
        <w:t xml:space="preserve"> </w:t>
      </w:r>
      <w:r w:rsidR="00DD1C40" w:rsidRPr="00DD1C40">
        <w:rPr>
          <w:rFonts w:ascii="Arial" w:hAnsi="Arial" w:cs="Arial"/>
        </w:rPr>
        <w:t xml:space="preserve">seeking </w:t>
      </w:r>
      <w:r w:rsidR="00DD1C40">
        <w:rPr>
          <w:rFonts w:ascii="Arial" w:hAnsi="Arial" w:cs="Arial"/>
        </w:rPr>
        <w:t>i</w:t>
      </w:r>
      <w:r w:rsidR="00DD1C40" w:rsidRPr="00DD1C40">
        <w:rPr>
          <w:rFonts w:ascii="Arial" w:hAnsi="Arial" w:cs="Arial"/>
        </w:rPr>
        <w:t>nterim injunctive reliefs against the Respondent's Directors, officers, agents or servants or any of them however</w:t>
      </w:r>
      <w:r w:rsidR="00DD1C40">
        <w:rPr>
          <w:rFonts w:ascii="Arial" w:hAnsi="Arial" w:cs="Arial"/>
        </w:rPr>
        <w:t>,</w:t>
      </w:r>
      <w:r w:rsidR="0092178E" w:rsidRPr="00DD1C40">
        <w:rPr>
          <w:rFonts w:ascii="Arial" w:hAnsi="Arial" w:cs="Arial"/>
        </w:rPr>
        <w:t xml:space="preserve"> it must be stated that </w:t>
      </w:r>
      <w:r w:rsidR="00551932" w:rsidRPr="00DD1C40">
        <w:rPr>
          <w:rFonts w:ascii="Arial" w:hAnsi="Arial" w:cs="Arial"/>
        </w:rPr>
        <w:t>t</w:t>
      </w:r>
      <w:r w:rsidR="00E544A4" w:rsidRPr="00DD1C40">
        <w:rPr>
          <w:rFonts w:ascii="Arial" w:hAnsi="Arial" w:cs="Arial"/>
        </w:rPr>
        <w:t xml:space="preserve">here is a danger in </w:t>
      </w:r>
      <w:r w:rsidR="00C36C5D" w:rsidRPr="00DD1C40">
        <w:rPr>
          <w:rFonts w:ascii="Arial" w:hAnsi="Arial" w:cs="Arial"/>
        </w:rPr>
        <w:t>making a sweeping assertion</w:t>
      </w:r>
      <w:r w:rsidR="00E544A4" w:rsidRPr="00DD1C40">
        <w:rPr>
          <w:rFonts w:ascii="Arial" w:hAnsi="Arial" w:cs="Arial"/>
        </w:rPr>
        <w:t xml:space="preserve"> that Rule 4 </w:t>
      </w:r>
      <w:r w:rsidR="0092178E" w:rsidRPr="00DD1C40">
        <w:rPr>
          <w:rFonts w:ascii="Arial" w:hAnsi="Arial" w:cs="Arial"/>
        </w:rPr>
        <w:t>of the</w:t>
      </w:r>
      <w:r w:rsidR="0092178E">
        <w:rPr>
          <w:rFonts w:ascii="Arial" w:hAnsi="Arial" w:cs="Arial"/>
          <w:lang w:val="en-GB"/>
        </w:rPr>
        <w:t xml:space="preserve"> Winding-Up Rules </w:t>
      </w:r>
      <w:r w:rsidR="00C36C5D">
        <w:rPr>
          <w:rFonts w:ascii="Arial" w:hAnsi="Arial" w:cs="Arial"/>
          <w:lang w:val="en-GB"/>
        </w:rPr>
        <w:t>admits no</w:t>
      </w:r>
      <w:r w:rsidR="00E544A4">
        <w:rPr>
          <w:rFonts w:ascii="Arial" w:hAnsi="Arial" w:cs="Arial"/>
          <w:lang w:val="en-GB"/>
        </w:rPr>
        <w:t xml:space="preserve"> exception</w:t>
      </w:r>
      <w:r w:rsidR="0092178E">
        <w:rPr>
          <w:rFonts w:ascii="Arial" w:hAnsi="Arial" w:cs="Arial"/>
          <w:lang w:val="en-GB"/>
        </w:rPr>
        <w:t xml:space="preserve"> or affords no discretion on the part of the applicant</w:t>
      </w:r>
      <w:r w:rsidR="00E544A4">
        <w:rPr>
          <w:rFonts w:ascii="Arial" w:hAnsi="Arial" w:cs="Arial"/>
          <w:lang w:val="en-GB"/>
        </w:rPr>
        <w:t>.</w:t>
      </w:r>
      <w:proofErr w:type="gramEnd"/>
      <w:r w:rsidR="00E544A4">
        <w:rPr>
          <w:rFonts w:ascii="Arial" w:hAnsi="Arial" w:cs="Arial"/>
          <w:lang w:val="en-GB"/>
        </w:rPr>
        <w:t xml:space="preserve"> </w:t>
      </w:r>
      <w:r w:rsidRPr="00C253F8">
        <w:rPr>
          <w:rFonts w:ascii="Arial" w:hAnsi="Arial" w:cs="Arial"/>
        </w:rPr>
        <w:t xml:space="preserve">It is </w:t>
      </w:r>
      <w:r>
        <w:rPr>
          <w:rFonts w:ascii="Arial" w:hAnsi="Arial" w:cs="Arial"/>
          <w:lang w:val="en-GB"/>
        </w:rPr>
        <w:t>instructive to note</w:t>
      </w:r>
      <w:r w:rsidRPr="00C253F8">
        <w:rPr>
          <w:rFonts w:ascii="Arial" w:hAnsi="Arial" w:cs="Arial"/>
        </w:rPr>
        <w:t xml:space="preserve"> that Rule 4 of the Winding-Up Rules </w:t>
      </w:r>
      <w:r>
        <w:rPr>
          <w:rFonts w:ascii="Arial" w:hAnsi="Arial" w:cs="Arial"/>
          <w:lang w:val="en-GB"/>
        </w:rPr>
        <w:t>expressly</w:t>
      </w:r>
      <w:r w:rsidRPr="00C253F8">
        <w:rPr>
          <w:rFonts w:ascii="Arial" w:hAnsi="Arial" w:cs="Arial"/>
        </w:rPr>
        <w:t xml:space="preserve"> mandates that notice of the motion must be served on every individual against whom an order is sought. This provision reflects the drafters' intention to ensure that individuals whose rights and interests may be significantly affected have the opportunity for a fair hearing. This principle aligns with public policy, emphasizing that orders capable of dissolving or affecting a company's assets and liabilities should not be granted without proper notice to affected parties, in contrast to applicants seeking innocuous applications.</w:t>
      </w:r>
    </w:p>
    <w:p w14:paraId="35C81A98" w14:textId="4582A46B" w:rsidR="007B75A8" w:rsidRDefault="003E536F" w:rsidP="007C48F7">
      <w:pPr>
        <w:spacing w:after="120" w:line="360" w:lineRule="auto"/>
        <w:ind w:left="720"/>
        <w:jc w:val="both"/>
        <w:rPr>
          <w:rFonts w:ascii="Arial" w:hAnsi="Arial" w:cs="Arial"/>
          <w:lang w:val="en-GB"/>
        </w:rPr>
      </w:pPr>
      <w:proofErr w:type="gramStart"/>
      <w:r>
        <w:rPr>
          <w:rFonts w:ascii="Arial" w:hAnsi="Arial" w:cs="Arial"/>
          <w:lang w:val="en-GB"/>
        </w:rPr>
        <w:t>Proceeding from the above explanation</w:t>
      </w:r>
      <w:r w:rsidR="00EF5818">
        <w:rPr>
          <w:rFonts w:ascii="Arial" w:hAnsi="Arial" w:cs="Arial"/>
          <w:lang w:val="en-GB"/>
        </w:rPr>
        <w:t>,</w:t>
      </w:r>
      <w:proofErr w:type="gramEnd"/>
      <w:r w:rsidR="00EF5818">
        <w:rPr>
          <w:rFonts w:ascii="Arial" w:hAnsi="Arial" w:cs="Arial"/>
          <w:lang w:val="en-GB"/>
        </w:rPr>
        <w:t xml:space="preserve"> </w:t>
      </w:r>
      <w:proofErr w:type="gramStart"/>
      <w:r w:rsidR="00EF5818">
        <w:rPr>
          <w:rFonts w:ascii="Arial" w:hAnsi="Arial" w:cs="Arial"/>
          <w:lang w:val="en-GB"/>
        </w:rPr>
        <w:t>it</w:t>
      </w:r>
      <w:proofErr w:type="gramEnd"/>
      <w:r w:rsidR="00EF5818">
        <w:rPr>
          <w:rFonts w:ascii="Arial" w:hAnsi="Arial" w:cs="Arial"/>
          <w:lang w:val="en-GB"/>
        </w:rPr>
        <w:t xml:space="preserve"> is </w:t>
      </w:r>
      <w:r w:rsidR="00472433">
        <w:rPr>
          <w:rFonts w:ascii="Arial" w:hAnsi="Arial" w:cs="Arial"/>
          <w:lang w:val="en-GB"/>
        </w:rPr>
        <w:t xml:space="preserve">clear that </w:t>
      </w:r>
      <w:r w:rsidR="00EF5818">
        <w:rPr>
          <w:rFonts w:ascii="Arial" w:hAnsi="Arial" w:cs="Arial"/>
          <w:lang w:val="en-GB"/>
        </w:rPr>
        <w:t xml:space="preserve">not every application in winding-up proceedings </w:t>
      </w:r>
      <w:r w:rsidR="00472433">
        <w:rPr>
          <w:rFonts w:ascii="Arial" w:hAnsi="Arial" w:cs="Arial"/>
          <w:lang w:val="en-GB"/>
        </w:rPr>
        <w:t>seeks an order against parties.</w:t>
      </w:r>
      <w:r w:rsidR="005554AC">
        <w:rPr>
          <w:rFonts w:ascii="Arial" w:hAnsi="Arial" w:cs="Arial"/>
          <w:lang w:val="en-GB"/>
        </w:rPr>
        <w:t xml:space="preserve"> Certain a</w:t>
      </w:r>
      <w:r w:rsidR="008E6E5D">
        <w:rPr>
          <w:rFonts w:ascii="Arial" w:hAnsi="Arial" w:cs="Arial"/>
          <w:lang w:val="en-GB"/>
        </w:rPr>
        <w:t>pplications</w:t>
      </w:r>
      <w:r w:rsidR="00A6351A">
        <w:rPr>
          <w:rFonts w:ascii="Arial" w:hAnsi="Arial" w:cs="Arial"/>
          <w:lang w:val="en-GB"/>
        </w:rPr>
        <w:t>, such as applications for</w:t>
      </w:r>
      <w:r w:rsidR="008E6E5D">
        <w:rPr>
          <w:rFonts w:ascii="Arial" w:hAnsi="Arial" w:cs="Arial"/>
          <w:lang w:val="en-GB"/>
        </w:rPr>
        <w:t xml:space="preserve"> substituted service, </w:t>
      </w:r>
      <w:r w:rsidR="005554AC">
        <w:rPr>
          <w:rFonts w:ascii="Arial" w:hAnsi="Arial" w:cs="Arial"/>
          <w:lang w:val="en-GB"/>
        </w:rPr>
        <w:t xml:space="preserve">leave to advertise, </w:t>
      </w:r>
      <w:r w:rsidR="008E6E5D">
        <w:rPr>
          <w:rFonts w:ascii="Arial" w:hAnsi="Arial" w:cs="Arial"/>
          <w:lang w:val="en-GB"/>
        </w:rPr>
        <w:t>extension of time to complete the winding up, etc., would fall into this category.</w:t>
      </w:r>
      <w:r w:rsidR="00472433">
        <w:rPr>
          <w:rFonts w:ascii="Arial" w:hAnsi="Arial" w:cs="Arial"/>
          <w:lang w:val="en-GB"/>
        </w:rPr>
        <w:t xml:space="preserve"> </w:t>
      </w:r>
      <w:proofErr w:type="gramStart"/>
      <w:r w:rsidR="005554AC">
        <w:rPr>
          <w:rFonts w:ascii="Arial" w:hAnsi="Arial" w:cs="Arial"/>
          <w:lang w:val="en-GB"/>
        </w:rPr>
        <w:t xml:space="preserve">Could </w:t>
      </w:r>
      <w:r w:rsidR="00472433">
        <w:rPr>
          <w:rFonts w:ascii="Arial" w:hAnsi="Arial" w:cs="Arial"/>
          <w:lang w:val="en-GB"/>
        </w:rPr>
        <w:t xml:space="preserve">these applications </w:t>
      </w:r>
      <w:r w:rsidR="00DD2742">
        <w:rPr>
          <w:rFonts w:ascii="Arial" w:hAnsi="Arial" w:cs="Arial"/>
          <w:lang w:val="en-GB"/>
        </w:rPr>
        <w:t>therefore</w:t>
      </w:r>
      <w:r w:rsidR="00472433">
        <w:rPr>
          <w:rFonts w:ascii="Arial" w:hAnsi="Arial" w:cs="Arial"/>
          <w:lang w:val="en-GB"/>
        </w:rPr>
        <w:t xml:space="preserve"> be validly brought</w:t>
      </w:r>
      <w:proofErr w:type="gramEnd"/>
      <w:r w:rsidR="00472433">
        <w:rPr>
          <w:rFonts w:ascii="Arial" w:hAnsi="Arial" w:cs="Arial"/>
          <w:lang w:val="en-GB"/>
        </w:rPr>
        <w:t xml:space="preserve"> </w:t>
      </w:r>
      <w:r w:rsidR="00472433" w:rsidRPr="00144566">
        <w:rPr>
          <w:rFonts w:ascii="Arial" w:hAnsi="Arial" w:cs="Arial"/>
          <w:i/>
          <w:lang w:val="en-GB"/>
        </w:rPr>
        <w:t>ex</w:t>
      </w:r>
      <w:r w:rsidR="00472433">
        <w:rPr>
          <w:rFonts w:ascii="Arial" w:hAnsi="Arial" w:cs="Arial"/>
          <w:i/>
          <w:lang w:val="en-GB"/>
        </w:rPr>
        <w:t xml:space="preserve"> </w:t>
      </w:r>
      <w:r w:rsidR="00472433" w:rsidRPr="00144566">
        <w:rPr>
          <w:rFonts w:ascii="Arial" w:hAnsi="Arial" w:cs="Arial"/>
          <w:i/>
          <w:lang w:val="en-GB"/>
        </w:rPr>
        <w:t>parte</w:t>
      </w:r>
      <w:r w:rsidR="00472433">
        <w:rPr>
          <w:rFonts w:ascii="Arial" w:hAnsi="Arial" w:cs="Arial"/>
          <w:lang w:val="en-GB"/>
        </w:rPr>
        <w:t>?</w:t>
      </w:r>
      <w:r w:rsidR="0034595C">
        <w:rPr>
          <w:rFonts w:ascii="Arial" w:hAnsi="Arial" w:cs="Arial"/>
          <w:lang w:val="en-GB"/>
        </w:rPr>
        <w:t xml:space="preserve"> This question was </w:t>
      </w:r>
      <w:r>
        <w:rPr>
          <w:rFonts w:ascii="Arial" w:hAnsi="Arial" w:cs="Arial"/>
          <w:lang w:val="en-GB"/>
        </w:rPr>
        <w:t xml:space="preserve">first </w:t>
      </w:r>
      <w:r w:rsidR="0034595C">
        <w:rPr>
          <w:rFonts w:ascii="Arial" w:hAnsi="Arial" w:cs="Arial"/>
          <w:lang w:val="en-GB"/>
        </w:rPr>
        <w:t xml:space="preserve">answered in </w:t>
      </w:r>
      <w:r w:rsidR="0034595C" w:rsidRPr="00DD2742">
        <w:rPr>
          <w:rFonts w:ascii="Arial" w:hAnsi="Arial" w:cs="Arial"/>
          <w:b/>
        </w:rPr>
        <w:t>Prov</w:t>
      </w:r>
      <w:r w:rsidR="00C253F8">
        <w:rPr>
          <w:rFonts w:ascii="Arial" w:hAnsi="Arial" w:cs="Arial"/>
          <w:b/>
        </w:rPr>
        <w:t>isional Liquidator, Tapp Ind v</w:t>
      </w:r>
      <w:r w:rsidR="0034595C" w:rsidRPr="00DD2742">
        <w:rPr>
          <w:rFonts w:ascii="Arial" w:hAnsi="Arial" w:cs="Arial"/>
          <w:b/>
        </w:rPr>
        <w:t>. Tapp Ind</w:t>
      </w:r>
      <w:r w:rsidR="0034595C" w:rsidRPr="008475DE">
        <w:rPr>
          <w:rFonts w:ascii="Arial" w:hAnsi="Arial" w:cs="Arial"/>
        </w:rPr>
        <w:t>,</w:t>
      </w:r>
      <w:r>
        <w:rPr>
          <w:rStyle w:val="FootnoteReference"/>
          <w:rFonts w:ascii="Arial" w:hAnsi="Arial" w:cs="Arial"/>
        </w:rPr>
        <w:footnoteReference w:id="10"/>
      </w:r>
      <w:r w:rsidR="0034595C" w:rsidRPr="008475DE">
        <w:rPr>
          <w:rFonts w:ascii="Arial" w:hAnsi="Arial" w:cs="Arial"/>
        </w:rPr>
        <w:t xml:space="preserve"> </w:t>
      </w:r>
      <w:r w:rsidR="00975F50">
        <w:rPr>
          <w:rFonts w:ascii="Arial" w:hAnsi="Arial" w:cs="Arial"/>
          <w:lang w:val="en-GB"/>
        </w:rPr>
        <w:t xml:space="preserve">where </w:t>
      </w:r>
      <w:r w:rsidR="0034595C" w:rsidRPr="008475DE">
        <w:rPr>
          <w:rFonts w:ascii="Arial" w:hAnsi="Arial" w:cs="Arial"/>
        </w:rPr>
        <w:t xml:space="preserve">the Supreme Court </w:t>
      </w:r>
      <w:r w:rsidR="00FF378E">
        <w:rPr>
          <w:rFonts w:ascii="Arial" w:hAnsi="Arial" w:cs="Arial"/>
          <w:lang w:val="en-GB"/>
        </w:rPr>
        <w:t xml:space="preserve">while interpreting Rule 4 of the </w:t>
      </w:r>
      <w:r w:rsidR="00B8793A">
        <w:rPr>
          <w:rFonts w:ascii="Arial" w:hAnsi="Arial" w:cs="Arial"/>
          <w:lang w:val="en-GB"/>
        </w:rPr>
        <w:t xml:space="preserve">repealed </w:t>
      </w:r>
      <w:r w:rsidR="00FF378E">
        <w:rPr>
          <w:rFonts w:ascii="Arial" w:hAnsi="Arial" w:cs="Arial"/>
          <w:lang w:val="en-GB"/>
        </w:rPr>
        <w:t xml:space="preserve">Companies Winding Up Rules 1983 which is </w:t>
      </w:r>
      <w:r w:rsidR="00FF378E">
        <w:rPr>
          <w:rFonts w:ascii="Arial" w:hAnsi="Arial" w:cs="Arial"/>
          <w:i/>
          <w:lang w:val="en-GB"/>
        </w:rPr>
        <w:t xml:space="preserve">in </w:t>
      </w:r>
      <w:proofErr w:type="spellStart"/>
      <w:r w:rsidR="00FF378E">
        <w:rPr>
          <w:rFonts w:ascii="Arial" w:hAnsi="Arial" w:cs="Arial"/>
          <w:i/>
          <w:lang w:val="en-GB"/>
        </w:rPr>
        <w:t>pari</w:t>
      </w:r>
      <w:proofErr w:type="spellEnd"/>
      <w:r w:rsidR="00FF378E">
        <w:rPr>
          <w:rFonts w:ascii="Arial" w:hAnsi="Arial" w:cs="Arial"/>
          <w:i/>
          <w:lang w:val="en-GB"/>
        </w:rPr>
        <w:t xml:space="preserve"> </w:t>
      </w:r>
      <w:proofErr w:type="spellStart"/>
      <w:r w:rsidR="00FF378E">
        <w:rPr>
          <w:rFonts w:ascii="Arial" w:hAnsi="Arial" w:cs="Arial"/>
          <w:i/>
          <w:lang w:val="en-GB"/>
        </w:rPr>
        <w:t>materia</w:t>
      </w:r>
      <w:proofErr w:type="spellEnd"/>
      <w:r w:rsidR="00FF378E">
        <w:rPr>
          <w:rFonts w:ascii="Arial" w:hAnsi="Arial" w:cs="Arial"/>
          <w:i/>
          <w:lang w:val="en-GB"/>
        </w:rPr>
        <w:t xml:space="preserve"> </w:t>
      </w:r>
      <w:r w:rsidR="00FF378E">
        <w:rPr>
          <w:rFonts w:ascii="Arial" w:hAnsi="Arial" w:cs="Arial"/>
          <w:lang w:val="en-GB"/>
        </w:rPr>
        <w:t>with the extant Rule 4</w:t>
      </w:r>
      <w:r w:rsidR="003B3E55">
        <w:rPr>
          <w:rFonts w:ascii="Arial" w:hAnsi="Arial" w:cs="Arial"/>
          <w:lang w:val="en-GB"/>
        </w:rPr>
        <w:t xml:space="preserve"> </w:t>
      </w:r>
      <w:r>
        <w:rPr>
          <w:rFonts w:ascii="Arial" w:hAnsi="Arial" w:cs="Arial"/>
          <w:lang w:val="en-GB"/>
        </w:rPr>
        <w:t>held:</w:t>
      </w:r>
    </w:p>
    <w:p w14:paraId="2E6498DD" w14:textId="1FBC6298" w:rsidR="007B75A8" w:rsidRDefault="003E536F" w:rsidP="00052A10">
      <w:pPr>
        <w:spacing w:after="120" w:line="240" w:lineRule="auto"/>
        <w:ind w:left="1440" w:right="720"/>
        <w:jc w:val="both"/>
        <w:rPr>
          <w:rFonts w:ascii="Arial" w:hAnsi="Arial" w:cs="Arial"/>
          <w:lang w:val="en-GB"/>
        </w:rPr>
      </w:pPr>
      <w:r w:rsidRPr="007B75A8">
        <w:rPr>
          <w:rFonts w:ascii="Arial" w:hAnsi="Arial" w:cs="Arial"/>
          <w:u w:val="single"/>
        </w:rPr>
        <w:t>This rule appears to allow for ex-parte applications being brought except where an order is being sought against any person in which case such person will have to be put on notice of the motion</w:t>
      </w:r>
      <w:r w:rsidRPr="007B75A8">
        <w:rPr>
          <w:rFonts w:ascii="Arial" w:hAnsi="Arial" w:cs="Arial"/>
        </w:rPr>
        <w:t xml:space="preserve">. As I have earlier observed, the appellant's motions of 5/12/88 and 12/12/88 did not seek an order against any of the parties. I, therefore, hold that these motions </w:t>
      </w:r>
      <w:r w:rsidRPr="007B75A8">
        <w:rPr>
          <w:rFonts w:ascii="Arial" w:hAnsi="Arial" w:cs="Arial"/>
        </w:rPr>
        <w:lastRenderedPageBreak/>
        <w:t>could be brought ex parte under the Companies (Winding Up) Rules, 1983.</w:t>
      </w:r>
    </w:p>
    <w:p w14:paraId="1F3714DD" w14:textId="1EC1A3C3" w:rsidR="00B8793A" w:rsidRPr="000775E2" w:rsidRDefault="003E536F" w:rsidP="007C48F7">
      <w:pPr>
        <w:spacing w:after="120" w:line="360" w:lineRule="auto"/>
        <w:ind w:left="720"/>
        <w:jc w:val="both"/>
        <w:rPr>
          <w:rFonts w:ascii="Arial" w:hAnsi="Arial" w:cs="Arial"/>
        </w:rPr>
      </w:pPr>
      <w:r>
        <w:rPr>
          <w:rFonts w:ascii="Arial" w:hAnsi="Arial" w:cs="Arial"/>
          <w:lang w:val="en-GB"/>
        </w:rPr>
        <w:t xml:space="preserve">In that case, the Supreme Court allowed </w:t>
      </w:r>
      <w:r w:rsidR="003D3FFC">
        <w:rPr>
          <w:rFonts w:ascii="Arial" w:hAnsi="Arial" w:cs="Arial"/>
          <w:lang w:val="en-GB"/>
        </w:rPr>
        <w:t>the liquidator's applications for an extension of time within which to complete his task of winding up the company</w:t>
      </w:r>
      <w:r w:rsidR="002A7A86">
        <w:rPr>
          <w:rFonts w:ascii="Arial" w:hAnsi="Arial" w:cs="Arial"/>
          <w:lang w:val="en-GB"/>
        </w:rPr>
        <w:t>.</w:t>
      </w:r>
      <w:r w:rsidR="000775E2">
        <w:rPr>
          <w:rFonts w:ascii="Arial" w:hAnsi="Arial" w:cs="Arial"/>
          <w:lang w:val="en-GB"/>
        </w:rPr>
        <w:t xml:space="preserve"> </w:t>
      </w:r>
      <w:r w:rsidRPr="00B8793A">
        <w:rPr>
          <w:rFonts w:ascii="Arial" w:hAnsi="Arial" w:cs="Arial"/>
          <w:lang w:val="en-GB"/>
        </w:rPr>
        <w:t xml:space="preserve">In </w:t>
      </w:r>
      <w:r w:rsidR="008A4EA7">
        <w:rPr>
          <w:rFonts w:ascii="Arial" w:hAnsi="Arial" w:cs="Arial"/>
          <w:lang w:val="en-GB"/>
        </w:rPr>
        <w:t xml:space="preserve">the more recent case of </w:t>
      </w:r>
      <w:r w:rsidR="008A4EA7" w:rsidRPr="00B8793A">
        <w:rPr>
          <w:rFonts w:ascii="Arial" w:hAnsi="Arial" w:cs="Arial"/>
          <w:b/>
          <w:lang w:val="en-GB"/>
        </w:rPr>
        <w:t xml:space="preserve">Partnership Securities Ltd &amp; </w:t>
      </w:r>
      <w:proofErr w:type="spellStart"/>
      <w:r w:rsidR="008A4EA7" w:rsidRPr="00B8793A">
        <w:rPr>
          <w:rFonts w:ascii="Arial" w:hAnsi="Arial" w:cs="Arial"/>
          <w:b/>
          <w:lang w:val="en-GB"/>
        </w:rPr>
        <w:t>Ors</w:t>
      </w:r>
      <w:proofErr w:type="spellEnd"/>
      <w:r w:rsidR="008A4EA7" w:rsidRPr="00B8793A">
        <w:rPr>
          <w:rFonts w:ascii="Arial" w:hAnsi="Arial" w:cs="Arial"/>
          <w:b/>
          <w:lang w:val="en-GB"/>
        </w:rPr>
        <w:t xml:space="preserve"> v </w:t>
      </w:r>
      <w:proofErr w:type="spellStart"/>
      <w:r w:rsidR="008A4EA7" w:rsidRPr="00B8793A">
        <w:rPr>
          <w:rFonts w:ascii="Arial" w:hAnsi="Arial" w:cs="Arial"/>
          <w:b/>
          <w:lang w:val="en-GB"/>
        </w:rPr>
        <w:t>Ekpe</w:t>
      </w:r>
      <w:proofErr w:type="spellEnd"/>
      <w:r w:rsidR="008A4EA7">
        <w:rPr>
          <w:rFonts w:ascii="Arial" w:hAnsi="Arial" w:cs="Arial"/>
          <w:lang w:val="en-GB"/>
        </w:rPr>
        <w:t>,</w:t>
      </w:r>
      <w:r w:rsidRPr="00741F75">
        <w:rPr>
          <w:rStyle w:val="FootnoteReference"/>
          <w:rFonts w:ascii="Arial" w:hAnsi="Arial" w:cs="Arial"/>
          <w:bCs/>
          <w:lang w:val="en-GB"/>
        </w:rPr>
        <w:footnoteReference w:id="11"/>
      </w:r>
      <w:r w:rsidR="008A4EA7">
        <w:rPr>
          <w:rFonts w:ascii="Arial" w:hAnsi="Arial" w:cs="Arial"/>
          <w:lang w:val="en-GB"/>
        </w:rPr>
        <w:t xml:space="preserve"> the Court of Appeal aligned i</w:t>
      </w:r>
      <w:r w:rsidRPr="00B8793A">
        <w:rPr>
          <w:rFonts w:ascii="Arial" w:hAnsi="Arial" w:cs="Arial"/>
          <w:lang w:val="en-GB"/>
        </w:rPr>
        <w:t xml:space="preserve">tself with the decision of the </w:t>
      </w:r>
      <w:r w:rsidR="00FE0B4C">
        <w:rPr>
          <w:rFonts w:ascii="Arial" w:hAnsi="Arial" w:cs="Arial"/>
          <w:lang w:val="en-GB"/>
        </w:rPr>
        <w:t>Supreme</w:t>
      </w:r>
      <w:r w:rsidRPr="00B8793A">
        <w:rPr>
          <w:rFonts w:ascii="Arial" w:hAnsi="Arial" w:cs="Arial"/>
          <w:lang w:val="en-GB"/>
        </w:rPr>
        <w:t xml:space="preserve"> </w:t>
      </w:r>
      <w:r w:rsidR="00FE0B4C" w:rsidRPr="00B8793A">
        <w:rPr>
          <w:rFonts w:ascii="Arial" w:hAnsi="Arial" w:cs="Arial"/>
          <w:lang w:val="en-GB"/>
        </w:rPr>
        <w:t>Court</w:t>
      </w:r>
      <w:r w:rsidR="00FE0B4C">
        <w:rPr>
          <w:rFonts w:ascii="Arial" w:hAnsi="Arial" w:cs="Arial"/>
          <w:lang w:val="en-GB"/>
        </w:rPr>
        <w:t xml:space="preserve"> </w:t>
      </w:r>
      <w:r w:rsidR="00C7313D">
        <w:rPr>
          <w:rFonts w:ascii="Arial" w:hAnsi="Arial" w:cs="Arial"/>
          <w:lang w:val="en-GB"/>
        </w:rPr>
        <w:t xml:space="preserve">in </w:t>
      </w:r>
      <w:r w:rsidR="00C253F8">
        <w:rPr>
          <w:rFonts w:ascii="Arial" w:hAnsi="Arial" w:cs="Arial"/>
          <w:b/>
        </w:rPr>
        <w:t>Provisional Liquidator, Tapp Ind v</w:t>
      </w:r>
      <w:r w:rsidRPr="007B75A8">
        <w:rPr>
          <w:rFonts w:ascii="Arial" w:hAnsi="Arial" w:cs="Arial"/>
          <w:b/>
        </w:rPr>
        <w:t>. Tapp Ind</w:t>
      </w:r>
      <w:r>
        <w:rPr>
          <w:rFonts w:ascii="Arial" w:hAnsi="Arial" w:cs="Arial"/>
          <w:b/>
          <w:i/>
          <w:lang w:val="en-GB"/>
        </w:rPr>
        <w:t xml:space="preserve"> </w:t>
      </w:r>
      <w:r>
        <w:rPr>
          <w:rFonts w:ascii="Arial" w:hAnsi="Arial" w:cs="Arial"/>
          <w:b/>
          <w:lang w:val="en-GB"/>
        </w:rPr>
        <w:t>(supra)</w:t>
      </w:r>
      <w:r w:rsidRPr="007B75A8">
        <w:rPr>
          <w:rFonts w:ascii="Arial" w:hAnsi="Arial" w:cs="Arial"/>
          <w:b/>
          <w:i/>
          <w:lang w:val="en-GB"/>
        </w:rPr>
        <w:t xml:space="preserve"> </w:t>
      </w:r>
      <w:r w:rsidR="008A4EA7">
        <w:rPr>
          <w:rFonts w:ascii="Arial" w:hAnsi="Arial" w:cs="Arial"/>
          <w:lang w:val="en-GB"/>
        </w:rPr>
        <w:t>and up</w:t>
      </w:r>
      <w:r w:rsidR="00C7313D">
        <w:rPr>
          <w:rFonts w:ascii="Arial" w:hAnsi="Arial" w:cs="Arial"/>
          <w:lang w:val="en-GB"/>
        </w:rPr>
        <w:t>held</w:t>
      </w:r>
      <w:r w:rsidR="008A4EA7">
        <w:rPr>
          <w:rFonts w:ascii="Arial" w:hAnsi="Arial" w:cs="Arial"/>
          <w:lang w:val="en-GB"/>
        </w:rPr>
        <w:t xml:space="preserve"> the view that where an application sought would not affect the respondent personally, such application </w:t>
      </w:r>
      <w:proofErr w:type="gramStart"/>
      <w:r w:rsidR="008A4EA7">
        <w:rPr>
          <w:rFonts w:ascii="Arial" w:hAnsi="Arial" w:cs="Arial"/>
          <w:lang w:val="en-GB"/>
        </w:rPr>
        <w:t>can be brought</w:t>
      </w:r>
      <w:proofErr w:type="gramEnd"/>
      <w:r w:rsidR="008A4EA7">
        <w:rPr>
          <w:rFonts w:ascii="Arial" w:hAnsi="Arial" w:cs="Arial"/>
          <w:lang w:val="en-GB"/>
        </w:rPr>
        <w:t xml:space="preserve"> by motion ex-parte.</w:t>
      </w:r>
      <w:r w:rsidRPr="00B8793A">
        <w:rPr>
          <w:rFonts w:ascii="Arial" w:hAnsi="Arial" w:cs="Arial"/>
          <w:lang w:val="en-GB"/>
        </w:rPr>
        <w:t xml:space="preserve"> </w:t>
      </w:r>
      <w:r w:rsidR="000775E2">
        <w:rPr>
          <w:rFonts w:ascii="Arial" w:hAnsi="Arial" w:cs="Arial"/>
          <w:lang w:val="en-GB"/>
        </w:rPr>
        <w:t xml:space="preserve">In that case, </w:t>
      </w:r>
      <w:r w:rsidR="00F1333F">
        <w:rPr>
          <w:rFonts w:ascii="Arial" w:hAnsi="Arial" w:cs="Arial"/>
          <w:lang w:val="en-GB"/>
        </w:rPr>
        <w:t xml:space="preserve">the Court of Appeal </w:t>
      </w:r>
      <w:r w:rsidR="000775E2" w:rsidRPr="000775E2">
        <w:rPr>
          <w:rFonts w:ascii="Arial" w:hAnsi="Arial" w:cs="Arial"/>
          <w:bCs/>
          <w:lang w:val="en-GB"/>
        </w:rPr>
        <w:t>held:</w:t>
      </w:r>
    </w:p>
    <w:p w14:paraId="3FBFC118" w14:textId="6CBE34F2" w:rsidR="000775E2" w:rsidRPr="00FE0B4C" w:rsidRDefault="003E536F" w:rsidP="00052A10">
      <w:pPr>
        <w:spacing w:after="120" w:line="240" w:lineRule="auto"/>
        <w:ind w:left="1440" w:right="720"/>
        <w:jc w:val="both"/>
        <w:rPr>
          <w:rFonts w:ascii="Arial" w:hAnsi="Arial" w:cs="Arial"/>
          <w:lang w:val="en-GB"/>
        </w:rPr>
      </w:pPr>
      <w:r>
        <w:rPr>
          <w:rFonts w:ascii="Arial" w:hAnsi="Arial" w:cs="Arial"/>
          <w:shd w:val="clear" w:color="auto" w:fill="FFFFFF"/>
          <w:lang w:val="en-GB"/>
        </w:rPr>
        <w:t>…</w:t>
      </w:r>
      <w:r w:rsidRPr="000775E2">
        <w:rPr>
          <w:rFonts w:ascii="Arial" w:hAnsi="Arial" w:cs="Arial"/>
          <w:shd w:val="clear" w:color="auto" w:fill="FFFFFF"/>
        </w:rPr>
        <w:t xml:space="preserve"> </w:t>
      </w:r>
      <w:r w:rsidRPr="000775E2">
        <w:rPr>
          <w:rFonts w:ascii="Arial" w:hAnsi="Arial" w:cs="Arial"/>
          <w:u w:val="single"/>
          <w:shd w:val="clear" w:color="auto" w:fill="FFFFFF"/>
        </w:rPr>
        <w:t>I am of the view that once upon the filing of a Petition for winding - up of a company, an application is filed which is likely to affect the Respondent in the Winding - up Petition personally, such an application if made ex - parte must be ordered to be made by Motion of Notice so that the Respondent is put on Notice. Thus, it is only when such an application would not affect the Respondent personally, as in an application for substituted service and such formal application and/or any other application not personally directed at the Respondent that such an application can be made by Motion ex - part</w:t>
      </w:r>
      <w:r w:rsidR="00FE0B4C">
        <w:rPr>
          <w:rFonts w:ascii="Arial" w:hAnsi="Arial" w:cs="Arial"/>
          <w:u w:val="single"/>
          <w:shd w:val="clear" w:color="auto" w:fill="FFFFFF"/>
        </w:rPr>
        <w:t>e and none other, and I so hold</w:t>
      </w:r>
      <w:r w:rsidRPr="000775E2">
        <w:rPr>
          <w:rFonts w:ascii="Arial" w:hAnsi="Arial" w:cs="Arial"/>
          <w:shd w:val="clear" w:color="auto" w:fill="FFFFFF"/>
        </w:rPr>
        <w:t xml:space="preserve">... Thus, having considered the reliefs sought Ex - Parte by the Respondent vide his Motion Ex - Parte filed on 31/10/2016, that were granted by the Court below Ex - Parte on 8/11/2016, </w:t>
      </w:r>
      <w:r w:rsidRPr="00FE0B4C">
        <w:rPr>
          <w:rFonts w:ascii="Arial" w:hAnsi="Arial" w:cs="Arial"/>
          <w:u w:val="single"/>
          <w:shd w:val="clear" w:color="auto" w:fill="FFFFFF"/>
        </w:rPr>
        <w:t>I find that whilst relief number one as sought and granted was not in any way on its face, since it was apparently innocuous, seeking anything in particular against the Appellants save the appointment of a Provisional Liquidator, and therefore, in my view valid,</w:t>
      </w:r>
      <w:r w:rsidRPr="000775E2">
        <w:rPr>
          <w:rFonts w:ascii="Arial" w:hAnsi="Arial" w:cs="Arial"/>
          <w:shd w:val="clear" w:color="auto" w:fill="FFFFFF"/>
        </w:rPr>
        <w:t xml:space="preserve"> it is not so with relief number two, which even on its face alone was clearly against the assets of the Appellants and therefore, in law and as required by their right to fair hearing as protected under Section 36 (1) of the Constitution of Nigeria 1999 (as amended) they ought to have been put on notice by the Respondent on the direction of the Court below rather than granting such relief affecting the legal rights of the Appellants without putting them on notice and hearing from them before such an order is made.</w:t>
      </w:r>
      <w:r>
        <w:rPr>
          <w:rStyle w:val="FootnoteReference"/>
          <w:rFonts w:ascii="Arial" w:hAnsi="Arial" w:cs="Arial"/>
          <w:shd w:val="clear" w:color="auto" w:fill="FFFFFF"/>
        </w:rPr>
        <w:footnoteReference w:id="12"/>
      </w:r>
      <w:r w:rsidR="00FE0B4C">
        <w:rPr>
          <w:rFonts w:ascii="Arial" w:hAnsi="Arial" w:cs="Arial"/>
          <w:shd w:val="clear" w:color="auto" w:fill="FFFFFF"/>
          <w:lang w:val="en-GB"/>
        </w:rPr>
        <w:t xml:space="preserve"> [Emphasis added].</w:t>
      </w:r>
    </w:p>
    <w:p w14:paraId="51464D72" w14:textId="7658ED3C" w:rsidR="003939ED" w:rsidRPr="003939ED" w:rsidRDefault="003E536F" w:rsidP="007C48F7">
      <w:pPr>
        <w:spacing w:after="120" w:line="360" w:lineRule="auto"/>
        <w:ind w:left="720"/>
        <w:jc w:val="both"/>
        <w:rPr>
          <w:rFonts w:ascii="Arial" w:hAnsi="Arial" w:cs="Arial"/>
          <w:lang w:val="en-GB"/>
        </w:rPr>
      </w:pPr>
      <w:r w:rsidRPr="003939ED">
        <w:rPr>
          <w:rFonts w:ascii="Arial" w:hAnsi="Arial" w:cs="Arial"/>
          <w:lang w:val="en-GB"/>
        </w:rPr>
        <w:t xml:space="preserve">In light of the decisions in </w:t>
      </w:r>
      <w:r w:rsidRPr="003939ED">
        <w:rPr>
          <w:rFonts w:ascii="Arial" w:hAnsi="Arial" w:cs="Arial"/>
          <w:b/>
          <w:iCs/>
          <w:lang w:val="en-GB"/>
        </w:rPr>
        <w:t xml:space="preserve">Provisional Liquidator, </w:t>
      </w:r>
      <w:proofErr w:type="spellStart"/>
      <w:r w:rsidRPr="003939ED">
        <w:rPr>
          <w:rFonts w:ascii="Arial" w:hAnsi="Arial" w:cs="Arial"/>
          <w:b/>
          <w:iCs/>
          <w:lang w:val="en-GB"/>
        </w:rPr>
        <w:t>Tapp</w:t>
      </w:r>
      <w:proofErr w:type="spellEnd"/>
      <w:r w:rsidRPr="003939ED">
        <w:rPr>
          <w:rFonts w:ascii="Arial" w:hAnsi="Arial" w:cs="Arial"/>
          <w:b/>
          <w:iCs/>
          <w:lang w:val="en-GB"/>
        </w:rPr>
        <w:t xml:space="preserve">. Ind. v. </w:t>
      </w:r>
      <w:proofErr w:type="spellStart"/>
      <w:r w:rsidRPr="003939ED">
        <w:rPr>
          <w:rFonts w:ascii="Arial" w:hAnsi="Arial" w:cs="Arial"/>
          <w:b/>
          <w:iCs/>
          <w:lang w:val="en-GB"/>
        </w:rPr>
        <w:t>Tapp</w:t>
      </w:r>
      <w:proofErr w:type="spellEnd"/>
      <w:r w:rsidRPr="003939ED">
        <w:rPr>
          <w:rFonts w:ascii="Arial" w:hAnsi="Arial" w:cs="Arial"/>
          <w:b/>
          <w:iCs/>
          <w:lang w:val="en-GB"/>
        </w:rPr>
        <w:t xml:space="preserve"> </w:t>
      </w:r>
      <w:proofErr w:type="spellStart"/>
      <w:r w:rsidRPr="003939ED">
        <w:rPr>
          <w:rFonts w:ascii="Arial" w:hAnsi="Arial" w:cs="Arial"/>
          <w:b/>
          <w:iCs/>
          <w:lang w:val="en-GB"/>
        </w:rPr>
        <w:t>Ind</w:t>
      </w:r>
      <w:proofErr w:type="spellEnd"/>
      <w:r>
        <w:rPr>
          <w:rFonts w:ascii="Arial" w:hAnsi="Arial" w:cs="Arial"/>
          <w:lang w:val="en-GB"/>
        </w:rPr>
        <w:t xml:space="preserve"> </w:t>
      </w:r>
      <w:r w:rsidRPr="003939ED">
        <w:rPr>
          <w:rFonts w:ascii="Arial" w:hAnsi="Arial" w:cs="Arial"/>
          <w:b/>
          <w:lang w:val="en-GB"/>
        </w:rPr>
        <w:t xml:space="preserve">and </w:t>
      </w:r>
      <w:r w:rsidRPr="003939ED">
        <w:rPr>
          <w:rFonts w:ascii="Arial" w:hAnsi="Arial" w:cs="Arial"/>
          <w:b/>
          <w:iCs/>
          <w:lang w:val="en-GB"/>
        </w:rPr>
        <w:t xml:space="preserve">Partnership Securities Ltd &amp; </w:t>
      </w:r>
      <w:proofErr w:type="spellStart"/>
      <w:r w:rsidRPr="003939ED">
        <w:rPr>
          <w:rFonts w:ascii="Arial" w:hAnsi="Arial" w:cs="Arial"/>
          <w:b/>
          <w:iCs/>
          <w:lang w:val="en-GB"/>
        </w:rPr>
        <w:t>Ors</w:t>
      </w:r>
      <w:proofErr w:type="spellEnd"/>
      <w:r w:rsidRPr="003939ED">
        <w:rPr>
          <w:rFonts w:ascii="Arial" w:hAnsi="Arial" w:cs="Arial"/>
          <w:b/>
          <w:iCs/>
          <w:lang w:val="en-GB"/>
        </w:rPr>
        <w:t xml:space="preserve"> v </w:t>
      </w:r>
      <w:proofErr w:type="spellStart"/>
      <w:r w:rsidRPr="003939ED">
        <w:rPr>
          <w:rFonts w:ascii="Arial" w:hAnsi="Arial" w:cs="Arial"/>
          <w:b/>
          <w:iCs/>
          <w:lang w:val="en-GB"/>
        </w:rPr>
        <w:t>Ekpe</w:t>
      </w:r>
      <w:proofErr w:type="spellEnd"/>
      <w:r w:rsidRPr="003939ED">
        <w:rPr>
          <w:rFonts w:ascii="Arial" w:hAnsi="Arial" w:cs="Arial"/>
          <w:lang w:val="en-GB"/>
        </w:rPr>
        <w:t xml:space="preserve"> a court faced with an </w:t>
      </w:r>
      <w:r w:rsidRPr="003939ED">
        <w:rPr>
          <w:rFonts w:ascii="Arial" w:hAnsi="Arial" w:cs="Arial"/>
          <w:i/>
          <w:lang w:val="en-GB"/>
        </w:rPr>
        <w:t>ex-parte</w:t>
      </w:r>
      <w:r w:rsidRPr="003939ED">
        <w:rPr>
          <w:rFonts w:ascii="Arial" w:hAnsi="Arial" w:cs="Arial"/>
          <w:lang w:val="en-GB"/>
        </w:rPr>
        <w:t xml:space="preserve"> application in winding-up proceedings </w:t>
      </w:r>
      <w:r>
        <w:rPr>
          <w:rFonts w:ascii="Arial" w:hAnsi="Arial" w:cs="Arial"/>
          <w:lang w:val="en-GB"/>
        </w:rPr>
        <w:t>is obligated to</w:t>
      </w:r>
      <w:r w:rsidRPr="003939ED">
        <w:rPr>
          <w:rFonts w:ascii="Arial" w:hAnsi="Arial" w:cs="Arial"/>
          <w:lang w:val="en-GB"/>
        </w:rPr>
        <w:t xml:space="preserve"> apply </w:t>
      </w:r>
      <w:r>
        <w:rPr>
          <w:rFonts w:ascii="Arial" w:hAnsi="Arial" w:cs="Arial"/>
          <w:lang w:val="en-GB"/>
        </w:rPr>
        <w:t>“</w:t>
      </w:r>
      <w:r w:rsidRPr="003939ED">
        <w:rPr>
          <w:rFonts w:ascii="Arial" w:hAnsi="Arial" w:cs="Arial"/>
          <w:lang w:val="en-GB"/>
        </w:rPr>
        <w:t>the personal or direct impact test</w:t>
      </w:r>
      <w:r>
        <w:rPr>
          <w:rFonts w:ascii="Arial" w:hAnsi="Arial" w:cs="Arial"/>
          <w:lang w:val="en-GB"/>
        </w:rPr>
        <w:t>”</w:t>
      </w:r>
      <w:r w:rsidRPr="003939ED">
        <w:rPr>
          <w:rFonts w:ascii="Arial" w:hAnsi="Arial" w:cs="Arial"/>
          <w:lang w:val="en-GB"/>
        </w:rPr>
        <w:t xml:space="preserve"> to determine its </w:t>
      </w:r>
      <w:r w:rsidRPr="00D46F60">
        <w:rPr>
          <w:rFonts w:ascii="Arial" w:hAnsi="Arial" w:cs="Arial"/>
          <w:i/>
          <w:lang w:val="en-GB"/>
        </w:rPr>
        <w:t>vires</w:t>
      </w:r>
      <w:r w:rsidRPr="003939ED">
        <w:rPr>
          <w:rFonts w:ascii="Arial" w:hAnsi="Arial" w:cs="Arial"/>
          <w:lang w:val="en-GB"/>
        </w:rPr>
        <w:t xml:space="preserve"> to hea</w:t>
      </w:r>
      <w:r>
        <w:rPr>
          <w:rFonts w:ascii="Arial" w:hAnsi="Arial" w:cs="Arial"/>
          <w:lang w:val="en-GB"/>
        </w:rPr>
        <w:t>r and grant such an application.</w:t>
      </w:r>
    </w:p>
    <w:p w14:paraId="1F283652" w14:textId="05C9C165" w:rsidR="00EC72E4" w:rsidRPr="007C48F7" w:rsidRDefault="003E536F" w:rsidP="007C48F7">
      <w:pPr>
        <w:pStyle w:val="ListParagraph"/>
        <w:numPr>
          <w:ilvl w:val="0"/>
          <w:numId w:val="4"/>
        </w:numPr>
        <w:spacing w:after="120" w:line="360" w:lineRule="auto"/>
        <w:ind w:hanging="720"/>
        <w:jc w:val="both"/>
        <w:rPr>
          <w:rFonts w:ascii="Arial" w:hAnsi="Arial" w:cs="Arial"/>
          <w:b/>
        </w:rPr>
      </w:pPr>
      <w:r w:rsidRPr="007C48F7">
        <w:rPr>
          <w:rFonts w:ascii="Arial" w:hAnsi="Arial" w:cs="Arial"/>
          <w:b/>
        </w:rPr>
        <w:t>Conclusion</w:t>
      </w:r>
    </w:p>
    <w:p w14:paraId="0783C69C" w14:textId="6468487A" w:rsidR="00150D2D" w:rsidRDefault="003E536F" w:rsidP="007C48F7">
      <w:pPr>
        <w:spacing w:after="120" w:line="360" w:lineRule="auto"/>
        <w:ind w:left="720"/>
        <w:jc w:val="both"/>
        <w:rPr>
          <w:rFonts w:ascii="Arial" w:hAnsi="Arial" w:cs="Arial"/>
          <w:lang w:val="en-GB"/>
        </w:rPr>
      </w:pPr>
      <w:r w:rsidRPr="00345366">
        <w:rPr>
          <w:rFonts w:ascii="Arial" w:hAnsi="Arial" w:cs="Arial"/>
          <w:lang w:val="en-GB"/>
        </w:rPr>
        <w:t xml:space="preserve">In conclusion, although </w:t>
      </w:r>
      <w:r w:rsidRPr="00345366">
        <w:rPr>
          <w:rFonts w:ascii="Arial" w:hAnsi="Arial" w:cs="Arial"/>
          <w:b/>
          <w:lang w:val="en-GB"/>
        </w:rPr>
        <w:t xml:space="preserve">Rule 4 of the Winding-Up Rules </w:t>
      </w:r>
      <w:r w:rsidRPr="00345366">
        <w:rPr>
          <w:rFonts w:ascii="Arial" w:hAnsi="Arial" w:cs="Arial"/>
          <w:lang w:val="en-GB"/>
        </w:rPr>
        <w:t xml:space="preserve">unequivocally mandates that applications in winding-up proceedings </w:t>
      </w:r>
      <w:proofErr w:type="gramStart"/>
      <w:r w:rsidRPr="00345366">
        <w:rPr>
          <w:rFonts w:ascii="Arial" w:hAnsi="Arial" w:cs="Arial"/>
          <w:lang w:val="en-GB"/>
        </w:rPr>
        <w:t>be made</w:t>
      </w:r>
      <w:proofErr w:type="gramEnd"/>
      <w:r w:rsidRPr="00345366">
        <w:rPr>
          <w:rFonts w:ascii="Arial" w:hAnsi="Arial" w:cs="Arial"/>
          <w:lang w:val="en-GB"/>
        </w:rPr>
        <w:t xml:space="preserve"> by motion on notice, there are exceptions to this general rule, as established in the cases of </w:t>
      </w:r>
      <w:r w:rsidRPr="00345366">
        <w:rPr>
          <w:rFonts w:ascii="Arial" w:hAnsi="Arial" w:cs="Arial"/>
          <w:b/>
          <w:iCs/>
          <w:lang w:val="en-GB"/>
        </w:rPr>
        <w:t xml:space="preserve">Provisional Liquidator, </w:t>
      </w:r>
      <w:proofErr w:type="spellStart"/>
      <w:r w:rsidRPr="00345366">
        <w:rPr>
          <w:rFonts w:ascii="Arial" w:hAnsi="Arial" w:cs="Arial"/>
          <w:b/>
          <w:iCs/>
          <w:lang w:val="en-GB"/>
        </w:rPr>
        <w:lastRenderedPageBreak/>
        <w:t>Tapp</w:t>
      </w:r>
      <w:proofErr w:type="spellEnd"/>
      <w:r>
        <w:rPr>
          <w:rFonts w:ascii="Arial" w:hAnsi="Arial" w:cs="Arial"/>
          <w:b/>
          <w:iCs/>
          <w:lang w:val="en-GB"/>
        </w:rPr>
        <w:t xml:space="preserve"> </w:t>
      </w:r>
      <w:proofErr w:type="spellStart"/>
      <w:r>
        <w:rPr>
          <w:rFonts w:ascii="Arial" w:hAnsi="Arial" w:cs="Arial"/>
          <w:b/>
          <w:iCs/>
          <w:lang w:val="en-GB"/>
        </w:rPr>
        <w:t>Ind</w:t>
      </w:r>
      <w:proofErr w:type="spellEnd"/>
      <w:r w:rsidRPr="00345366">
        <w:rPr>
          <w:rFonts w:ascii="Arial" w:hAnsi="Arial" w:cs="Arial"/>
          <w:b/>
          <w:iCs/>
          <w:lang w:val="en-GB"/>
        </w:rPr>
        <w:t xml:space="preserve"> v. </w:t>
      </w:r>
      <w:proofErr w:type="spellStart"/>
      <w:r w:rsidRPr="00345366">
        <w:rPr>
          <w:rFonts w:ascii="Arial" w:hAnsi="Arial" w:cs="Arial"/>
          <w:b/>
          <w:iCs/>
          <w:lang w:val="en-GB"/>
        </w:rPr>
        <w:t>Tapp</w:t>
      </w:r>
      <w:proofErr w:type="spellEnd"/>
      <w:r w:rsidRPr="00345366">
        <w:rPr>
          <w:rFonts w:ascii="Arial" w:hAnsi="Arial" w:cs="Arial"/>
          <w:b/>
          <w:iCs/>
          <w:lang w:val="en-GB"/>
        </w:rPr>
        <w:t xml:space="preserve"> Industries Ltd.</w:t>
      </w:r>
      <w:r w:rsidRPr="00345366">
        <w:rPr>
          <w:rFonts w:ascii="Arial" w:hAnsi="Arial" w:cs="Arial"/>
          <w:b/>
          <w:lang w:val="en-GB"/>
        </w:rPr>
        <w:t xml:space="preserve"> </w:t>
      </w:r>
      <w:r w:rsidRPr="00345366">
        <w:rPr>
          <w:rFonts w:ascii="Arial" w:hAnsi="Arial" w:cs="Arial"/>
          <w:lang w:val="en-GB"/>
        </w:rPr>
        <w:t>and</w:t>
      </w:r>
      <w:r w:rsidRPr="00345366">
        <w:rPr>
          <w:rFonts w:ascii="Arial" w:hAnsi="Arial" w:cs="Arial"/>
          <w:b/>
          <w:lang w:val="en-GB"/>
        </w:rPr>
        <w:t xml:space="preserve"> </w:t>
      </w:r>
      <w:r w:rsidRPr="00345366">
        <w:rPr>
          <w:rFonts w:ascii="Arial" w:hAnsi="Arial" w:cs="Arial"/>
          <w:b/>
          <w:iCs/>
          <w:lang w:val="en-GB"/>
        </w:rPr>
        <w:t xml:space="preserve">Partnership Securities Ltd &amp; </w:t>
      </w:r>
      <w:proofErr w:type="spellStart"/>
      <w:r w:rsidRPr="00345366">
        <w:rPr>
          <w:rFonts w:ascii="Arial" w:hAnsi="Arial" w:cs="Arial"/>
          <w:b/>
          <w:iCs/>
          <w:lang w:val="en-GB"/>
        </w:rPr>
        <w:t>Ors</w:t>
      </w:r>
      <w:proofErr w:type="spellEnd"/>
      <w:r w:rsidRPr="00345366">
        <w:rPr>
          <w:rFonts w:ascii="Arial" w:hAnsi="Arial" w:cs="Arial"/>
          <w:b/>
          <w:iCs/>
          <w:lang w:val="en-GB"/>
        </w:rPr>
        <w:t xml:space="preserve"> v </w:t>
      </w:r>
      <w:proofErr w:type="spellStart"/>
      <w:r w:rsidRPr="00345366">
        <w:rPr>
          <w:rFonts w:ascii="Arial" w:hAnsi="Arial" w:cs="Arial"/>
          <w:b/>
          <w:iCs/>
          <w:lang w:val="en-GB"/>
        </w:rPr>
        <w:t>Ekpe</w:t>
      </w:r>
      <w:proofErr w:type="spellEnd"/>
      <w:r w:rsidRPr="00345366">
        <w:rPr>
          <w:rFonts w:ascii="Arial" w:hAnsi="Arial" w:cs="Arial"/>
          <w:b/>
          <w:lang w:val="en-GB"/>
        </w:rPr>
        <w:t>.</w:t>
      </w:r>
      <w:r>
        <w:rPr>
          <w:rFonts w:ascii="Arial" w:hAnsi="Arial" w:cs="Arial"/>
          <w:lang w:val="en-GB"/>
        </w:rPr>
        <w:t xml:space="preserve"> </w:t>
      </w:r>
      <w:r w:rsidRPr="00150D2D">
        <w:rPr>
          <w:rFonts w:ascii="Arial" w:hAnsi="Arial" w:cs="Arial"/>
          <w:lang w:val="en-GB"/>
        </w:rPr>
        <w:t xml:space="preserve">These decisions demonstrate that some applications that do not immediately impair the respondent's rights and responsibilities </w:t>
      </w:r>
      <w:proofErr w:type="gramStart"/>
      <w:r w:rsidRPr="00150D2D">
        <w:rPr>
          <w:rFonts w:ascii="Arial" w:hAnsi="Arial" w:cs="Arial"/>
          <w:lang w:val="en-GB"/>
        </w:rPr>
        <w:t>can be presented</w:t>
      </w:r>
      <w:proofErr w:type="gramEnd"/>
      <w:r w:rsidRPr="00150D2D">
        <w:rPr>
          <w:rFonts w:ascii="Arial" w:hAnsi="Arial" w:cs="Arial"/>
          <w:lang w:val="en-GB"/>
        </w:rPr>
        <w:t xml:space="preserve"> </w:t>
      </w:r>
      <w:r w:rsidRPr="00150D2D">
        <w:rPr>
          <w:rFonts w:ascii="Arial" w:hAnsi="Arial" w:cs="Arial"/>
          <w:i/>
          <w:lang w:val="en-GB"/>
        </w:rPr>
        <w:t>ex parte</w:t>
      </w:r>
      <w:r w:rsidRPr="00150D2D">
        <w:rPr>
          <w:rFonts w:ascii="Arial" w:hAnsi="Arial" w:cs="Arial"/>
          <w:lang w:val="en-GB"/>
        </w:rPr>
        <w:t xml:space="preserve">. </w:t>
      </w:r>
      <w:r>
        <w:rPr>
          <w:rFonts w:ascii="Arial" w:hAnsi="Arial" w:cs="Arial"/>
          <w:lang w:val="en-GB"/>
        </w:rPr>
        <w:t xml:space="preserve">This is more so </w:t>
      </w:r>
      <w:r w:rsidR="00F73CB5">
        <w:rPr>
          <w:rFonts w:ascii="Arial" w:hAnsi="Arial" w:cs="Arial"/>
          <w:lang w:val="en-GB"/>
        </w:rPr>
        <w:t>since</w:t>
      </w:r>
      <w:r>
        <w:rPr>
          <w:rFonts w:ascii="Arial" w:hAnsi="Arial" w:cs="Arial"/>
          <w:lang w:val="en-GB"/>
        </w:rPr>
        <w:t xml:space="preserve"> </w:t>
      </w:r>
      <w:r w:rsidRPr="00150D2D">
        <w:rPr>
          <w:rFonts w:ascii="Arial" w:hAnsi="Arial" w:cs="Arial"/>
          <w:i/>
          <w:lang w:val="en-GB"/>
        </w:rPr>
        <w:t>ex-parte</w:t>
      </w:r>
      <w:r w:rsidRPr="00150D2D">
        <w:rPr>
          <w:rFonts w:ascii="Arial" w:hAnsi="Arial" w:cs="Arial"/>
          <w:lang w:val="en-GB"/>
        </w:rPr>
        <w:t xml:space="preserve"> motions may be permitted in applications for procedural matters such as substituted service, leave to publicize the petition, or an extension of time to complete the winding-</w:t>
      </w:r>
      <w:proofErr w:type="gramStart"/>
      <w:r w:rsidRPr="00150D2D">
        <w:rPr>
          <w:rFonts w:ascii="Arial" w:hAnsi="Arial" w:cs="Arial"/>
          <w:lang w:val="en-GB"/>
        </w:rPr>
        <w:t>up</w:t>
      </w:r>
      <w:proofErr w:type="gramEnd"/>
      <w:r w:rsidRPr="00150D2D">
        <w:rPr>
          <w:rFonts w:ascii="Arial" w:hAnsi="Arial" w:cs="Arial"/>
          <w:lang w:val="en-GB"/>
        </w:rPr>
        <w:t xml:space="preserve"> </w:t>
      </w:r>
      <w:r>
        <w:rPr>
          <w:rFonts w:ascii="Arial" w:hAnsi="Arial" w:cs="Arial"/>
          <w:lang w:val="en-GB"/>
        </w:rPr>
        <w:t xml:space="preserve">as </w:t>
      </w:r>
      <w:r w:rsidRPr="00150D2D">
        <w:rPr>
          <w:rFonts w:ascii="Arial" w:hAnsi="Arial" w:cs="Arial"/>
          <w:lang w:val="en-GB"/>
        </w:rPr>
        <w:t xml:space="preserve">they do not affect the respondent directly. As a result, the balance between procedural efficiency and respondent rights </w:t>
      </w:r>
      <w:proofErr w:type="gramStart"/>
      <w:r w:rsidRPr="00150D2D">
        <w:rPr>
          <w:rFonts w:ascii="Arial" w:hAnsi="Arial" w:cs="Arial"/>
          <w:lang w:val="en-GB"/>
        </w:rPr>
        <w:t>is maintained</w:t>
      </w:r>
      <w:proofErr w:type="gramEnd"/>
      <w:r w:rsidRPr="00150D2D">
        <w:rPr>
          <w:rFonts w:ascii="Arial" w:hAnsi="Arial" w:cs="Arial"/>
          <w:lang w:val="en-GB"/>
        </w:rPr>
        <w:t>, ensuring compliance with both the text and spirit of the law.</w:t>
      </w:r>
    </w:p>
    <w:p w14:paraId="06815879" w14:textId="77777777" w:rsidR="009615D2" w:rsidRDefault="009615D2" w:rsidP="007C48F7">
      <w:pPr>
        <w:spacing w:after="120" w:line="360" w:lineRule="auto"/>
        <w:ind w:left="720"/>
        <w:jc w:val="both"/>
        <w:rPr>
          <w:rFonts w:ascii="Arial" w:hAnsi="Arial" w:cs="Arial"/>
          <w:lang w:val="en-GB"/>
        </w:rPr>
      </w:pPr>
    </w:p>
    <w:p w14:paraId="7803944A" w14:textId="77777777" w:rsidR="001464A8" w:rsidRPr="001464A8" w:rsidRDefault="001464A8" w:rsidP="0066521B">
      <w:pPr>
        <w:spacing w:after="0" w:line="240" w:lineRule="auto"/>
        <w:jc w:val="center"/>
        <w:rPr>
          <w:rFonts w:ascii="Arial" w:hAnsi="Arial" w:cs="Arial"/>
        </w:rPr>
      </w:pPr>
      <w:r w:rsidRPr="001464A8">
        <w:rPr>
          <w:rFonts w:ascii="Arial" w:hAnsi="Arial" w:cs="Arial"/>
        </w:rPr>
        <w:t>________________________________________________</w:t>
      </w:r>
    </w:p>
    <w:p w14:paraId="3C5CC4D5" w14:textId="77777777" w:rsidR="001464A8" w:rsidRPr="001464A8" w:rsidRDefault="001464A8" w:rsidP="0066521B">
      <w:pPr>
        <w:spacing w:after="0" w:line="240" w:lineRule="auto"/>
        <w:jc w:val="center"/>
        <w:rPr>
          <w:rFonts w:ascii="Arial" w:hAnsi="Arial" w:cs="Arial"/>
        </w:rPr>
      </w:pPr>
      <w:r w:rsidRPr="001464A8">
        <w:rPr>
          <w:rFonts w:ascii="Arial" w:hAnsi="Arial" w:cs="Arial"/>
        </w:rPr>
        <w:t>For further information on this article and area of law,</w:t>
      </w:r>
    </w:p>
    <w:p w14:paraId="4DF7F339" w14:textId="6563EB7E" w:rsidR="001464A8" w:rsidRPr="001464A8" w:rsidRDefault="001464A8" w:rsidP="0066521B">
      <w:pPr>
        <w:spacing w:after="0" w:line="240" w:lineRule="auto"/>
        <w:jc w:val="center"/>
        <w:rPr>
          <w:rFonts w:ascii="Arial" w:hAnsi="Arial" w:cs="Arial"/>
        </w:rPr>
      </w:pPr>
      <w:r w:rsidRPr="001464A8">
        <w:rPr>
          <w:rFonts w:ascii="Arial" w:hAnsi="Arial" w:cs="Arial"/>
        </w:rPr>
        <w:t xml:space="preserve">Please contact </w:t>
      </w:r>
      <w:r w:rsidR="0066521B" w:rsidRPr="00741F75">
        <w:rPr>
          <w:rFonts w:ascii="Arial" w:hAnsi="Arial" w:cs="Arial"/>
          <w:b/>
          <w:bCs/>
          <w:lang w:val="en-GB"/>
        </w:rPr>
        <w:t xml:space="preserve">Magnus </w:t>
      </w:r>
      <w:proofErr w:type="spellStart"/>
      <w:r w:rsidR="0066521B" w:rsidRPr="00741F75">
        <w:rPr>
          <w:rFonts w:ascii="Arial" w:hAnsi="Arial" w:cs="Arial"/>
          <w:b/>
          <w:bCs/>
          <w:lang w:val="en-GB"/>
        </w:rPr>
        <w:t>Ejelonu</w:t>
      </w:r>
      <w:proofErr w:type="spellEnd"/>
      <w:r w:rsidR="0066521B" w:rsidRPr="001464A8">
        <w:rPr>
          <w:rFonts w:ascii="Arial" w:hAnsi="Arial" w:cs="Arial"/>
        </w:rPr>
        <w:t xml:space="preserve"> </w:t>
      </w:r>
      <w:r w:rsidR="00022784">
        <w:rPr>
          <w:rFonts w:ascii="Arial" w:hAnsi="Arial" w:cs="Arial"/>
          <w:lang w:val="en-US"/>
        </w:rPr>
        <w:t xml:space="preserve">and </w:t>
      </w:r>
      <w:proofErr w:type="spellStart"/>
      <w:r w:rsidR="00022784" w:rsidRPr="00741F75">
        <w:rPr>
          <w:rFonts w:ascii="Arial" w:hAnsi="Arial" w:cs="Arial"/>
          <w:b/>
          <w:bCs/>
          <w:lang w:val="en-GB"/>
        </w:rPr>
        <w:t>Damilola</w:t>
      </w:r>
      <w:proofErr w:type="spellEnd"/>
      <w:r w:rsidR="00022784" w:rsidRPr="00741F75">
        <w:rPr>
          <w:rFonts w:ascii="Arial" w:hAnsi="Arial" w:cs="Arial"/>
          <w:b/>
          <w:bCs/>
          <w:lang w:val="en-GB"/>
        </w:rPr>
        <w:t xml:space="preserve"> </w:t>
      </w:r>
      <w:proofErr w:type="spellStart"/>
      <w:r w:rsidR="00022784" w:rsidRPr="00741F75">
        <w:rPr>
          <w:rFonts w:ascii="Arial" w:hAnsi="Arial" w:cs="Arial"/>
          <w:b/>
          <w:bCs/>
          <w:lang w:val="en-GB"/>
        </w:rPr>
        <w:t>Akinsanya</w:t>
      </w:r>
      <w:proofErr w:type="spellEnd"/>
      <w:r w:rsidR="00022784" w:rsidRPr="001464A8">
        <w:rPr>
          <w:rFonts w:ascii="Arial" w:hAnsi="Arial" w:cs="Arial"/>
        </w:rPr>
        <w:t xml:space="preserve"> </w:t>
      </w:r>
      <w:r w:rsidRPr="001464A8">
        <w:rPr>
          <w:rFonts w:ascii="Arial" w:hAnsi="Arial" w:cs="Arial"/>
        </w:rPr>
        <w:t>at:</w:t>
      </w:r>
    </w:p>
    <w:p w14:paraId="3C3AB55D" w14:textId="77777777" w:rsidR="001464A8" w:rsidRPr="001464A8" w:rsidRDefault="001464A8" w:rsidP="0066521B">
      <w:pPr>
        <w:spacing w:after="0" w:line="240" w:lineRule="auto"/>
        <w:jc w:val="center"/>
        <w:rPr>
          <w:rFonts w:ascii="Arial" w:hAnsi="Arial" w:cs="Arial"/>
        </w:rPr>
      </w:pPr>
      <w:r w:rsidRPr="001464A8">
        <w:rPr>
          <w:rFonts w:ascii="Arial" w:hAnsi="Arial" w:cs="Arial"/>
        </w:rPr>
        <w:t>S. P. A. Ajibade &amp; Co., Lagos by</w:t>
      </w:r>
    </w:p>
    <w:p w14:paraId="334C7A97" w14:textId="77777777" w:rsidR="001464A8" w:rsidRPr="001464A8" w:rsidRDefault="001464A8" w:rsidP="0066521B">
      <w:pPr>
        <w:spacing w:after="0" w:line="240" w:lineRule="auto"/>
        <w:jc w:val="center"/>
        <w:rPr>
          <w:rFonts w:ascii="Arial" w:hAnsi="Arial" w:cs="Arial"/>
        </w:rPr>
      </w:pPr>
      <w:r w:rsidRPr="001464A8">
        <w:rPr>
          <w:rFonts w:ascii="Arial" w:hAnsi="Arial" w:cs="Arial"/>
        </w:rPr>
        <w:t>Telephone (+234 1 472 9890), Fax (+234 1 4605092)</w:t>
      </w:r>
    </w:p>
    <w:p w14:paraId="02BA0548" w14:textId="77777777" w:rsidR="00A54D12" w:rsidRDefault="001464A8" w:rsidP="0066521B">
      <w:pPr>
        <w:spacing w:after="0" w:line="240" w:lineRule="auto"/>
        <w:jc w:val="center"/>
        <w:rPr>
          <w:rFonts w:ascii="Arial" w:hAnsi="Arial" w:cs="Arial"/>
        </w:rPr>
      </w:pPr>
      <w:r w:rsidRPr="001464A8">
        <w:rPr>
          <w:rFonts w:ascii="Arial" w:hAnsi="Arial" w:cs="Arial"/>
        </w:rPr>
        <w:t xml:space="preserve">Mobile </w:t>
      </w:r>
      <w:r w:rsidR="00A54D12">
        <w:rPr>
          <w:rFonts w:ascii="Arial" w:hAnsi="Arial" w:cs="Arial"/>
        </w:rPr>
        <w:t>(</w:t>
      </w:r>
      <w:r w:rsidR="00A54D12" w:rsidRPr="00D342A9">
        <w:rPr>
          <w:rFonts w:ascii="Arial" w:hAnsi="Arial" w:cs="Arial"/>
          <w:lang w:val="en-US"/>
        </w:rPr>
        <w:t>+234 815 088 2840</w:t>
      </w:r>
      <w:r w:rsidR="00A54D12">
        <w:rPr>
          <w:rFonts w:ascii="Arial" w:hAnsi="Arial" w:cs="Arial"/>
        </w:rPr>
        <w:t xml:space="preserve">, </w:t>
      </w:r>
      <w:r w:rsidR="00A54D12" w:rsidRPr="00D342A9">
        <w:rPr>
          <w:rFonts w:ascii="Arial" w:hAnsi="Arial" w:cs="Arial"/>
        </w:rPr>
        <w:t>+234 803 747 6651</w:t>
      </w:r>
      <w:r w:rsidR="00A54D12">
        <w:rPr>
          <w:rFonts w:ascii="Arial" w:hAnsi="Arial" w:cs="Arial"/>
        </w:rPr>
        <w:t>)</w:t>
      </w:r>
    </w:p>
    <w:p w14:paraId="065A7A67" w14:textId="52222388" w:rsidR="007C48F7" w:rsidRPr="005872E3" w:rsidRDefault="001464A8" w:rsidP="0066521B">
      <w:pPr>
        <w:spacing w:after="0" w:line="240" w:lineRule="auto"/>
        <w:jc w:val="center"/>
        <w:rPr>
          <w:rFonts w:ascii="Arial" w:hAnsi="Arial" w:cs="Arial"/>
          <w:color w:val="3333FF"/>
        </w:rPr>
      </w:pPr>
      <w:r w:rsidRPr="001464A8">
        <w:rPr>
          <w:rFonts w:ascii="Arial" w:hAnsi="Arial" w:cs="Arial"/>
        </w:rPr>
        <w:t>Email:</w:t>
      </w:r>
      <w:r w:rsidR="0066521B" w:rsidRPr="0066521B">
        <w:rPr>
          <w:rFonts w:ascii="Arial" w:hAnsi="Arial" w:cs="Arial"/>
          <w:b/>
          <w:bCs/>
          <w:lang w:val="en-GB"/>
        </w:rPr>
        <w:t xml:space="preserve"> </w:t>
      </w:r>
      <w:hyperlink r:id="rId11" w:history="1">
        <w:r w:rsidR="007C48F7" w:rsidRPr="005872E3">
          <w:rPr>
            <w:rStyle w:val="Hyperlink"/>
            <w:rFonts w:ascii="Arial" w:hAnsi="Arial" w:cs="Arial"/>
            <w:color w:val="3333FF"/>
            <w:lang w:val="en-GB"/>
          </w:rPr>
          <w:t>mejelonu</w:t>
        </w:r>
        <w:r w:rsidR="007C48F7" w:rsidRPr="005872E3">
          <w:rPr>
            <w:rStyle w:val="Hyperlink"/>
            <w:rFonts w:ascii="Arial" w:hAnsi="Arial" w:cs="Arial"/>
            <w:color w:val="3333FF"/>
          </w:rPr>
          <w:t>@spaajibade.com</w:t>
        </w:r>
      </w:hyperlink>
      <w:r w:rsidRPr="005872E3">
        <w:rPr>
          <w:rFonts w:ascii="Arial" w:hAnsi="Arial" w:cs="Arial"/>
          <w:color w:val="3333FF"/>
        </w:rPr>
        <w:t xml:space="preserve"> </w:t>
      </w:r>
    </w:p>
    <w:p w14:paraId="7DC8FFE5" w14:textId="71A948CB" w:rsidR="001464A8" w:rsidRPr="005872E3" w:rsidRDefault="001464A8" w:rsidP="0066521B">
      <w:pPr>
        <w:spacing w:after="0" w:line="240" w:lineRule="auto"/>
        <w:jc w:val="center"/>
        <w:rPr>
          <w:rFonts w:ascii="Arial" w:hAnsi="Arial" w:cs="Arial"/>
        </w:rPr>
      </w:pPr>
      <w:r w:rsidRPr="005872E3">
        <w:rPr>
          <w:rFonts w:ascii="Arial" w:hAnsi="Arial" w:cs="Arial"/>
        </w:rPr>
        <w:t>www.spaajibade.com</w:t>
      </w:r>
    </w:p>
    <w:p w14:paraId="1A5E537A" w14:textId="25F6C8D8" w:rsidR="00EF24A4" w:rsidRPr="00A94BA3" w:rsidRDefault="00EF24A4" w:rsidP="0066521B">
      <w:pPr>
        <w:spacing w:after="0" w:line="240" w:lineRule="auto"/>
        <w:jc w:val="center"/>
        <w:rPr>
          <w:rFonts w:ascii="Arial" w:hAnsi="Arial" w:cs="Arial"/>
          <w:lang w:val="en-GB"/>
        </w:rPr>
      </w:pPr>
    </w:p>
    <w:sectPr w:rsidR="00EF24A4" w:rsidRPr="00A94BA3" w:rsidSect="007C48F7">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BFC23" w14:textId="77777777" w:rsidR="00F573D3" w:rsidRDefault="00F573D3">
      <w:pPr>
        <w:spacing w:after="0" w:line="240" w:lineRule="auto"/>
      </w:pPr>
      <w:r>
        <w:separator/>
      </w:r>
    </w:p>
  </w:endnote>
  <w:endnote w:type="continuationSeparator" w:id="0">
    <w:p w14:paraId="6616C115" w14:textId="77777777" w:rsidR="00F573D3" w:rsidRDefault="00F5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2854B" w14:textId="77777777" w:rsidR="00F573D3" w:rsidRDefault="00F573D3" w:rsidP="00E7447F">
      <w:pPr>
        <w:spacing w:after="0" w:line="240" w:lineRule="auto"/>
      </w:pPr>
      <w:r>
        <w:separator/>
      </w:r>
    </w:p>
  </w:footnote>
  <w:footnote w:type="continuationSeparator" w:id="0">
    <w:p w14:paraId="6B7C895B" w14:textId="77777777" w:rsidR="00F573D3" w:rsidRDefault="00F573D3" w:rsidP="00E7447F">
      <w:pPr>
        <w:spacing w:after="0" w:line="240" w:lineRule="auto"/>
      </w:pPr>
      <w:r>
        <w:continuationSeparator/>
      </w:r>
    </w:p>
  </w:footnote>
  <w:footnote w:id="1">
    <w:p w14:paraId="1CE191B7" w14:textId="7B74BEDF" w:rsidR="006D5B49" w:rsidRPr="00741F75" w:rsidRDefault="003E536F" w:rsidP="007C48F7">
      <w:pPr>
        <w:pStyle w:val="FootnoteText"/>
        <w:spacing w:line="276" w:lineRule="auto"/>
        <w:ind w:left="360" w:hanging="360"/>
        <w:jc w:val="both"/>
        <w:rPr>
          <w:rFonts w:ascii="Arial" w:hAnsi="Arial" w:cs="Arial"/>
          <w:lang w:val="en-GB"/>
        </w:rPr>
      </w:pPr>
      <w:r w:rsidRPr="00741F75">
        <w:rPr>
          <w:rStyle w:val="FootnoteReference"/>
          <w:rFonts w:ascii="Arial" w:hAnsi="Arial" w:cs="Arial"/>
        </w:rPr>
        <w:footnoteRef/>
      </w:r>
      <w:r w:rsidRPr="00741F75">
        <w:rPr>
          <w:rFonts w:ascii="Arial" w:hAnsi="Arial" w:cs="Arial"/>
        </w:rPr>
        <w:t xml:space="preserve"> </w:t>
      </w:r>
      <w:r w:rsidR="007C48F7">
        <w:rPr>
          <w:rFonts w:ascii="Arial" w:hAnsi="Arial" w:cs="Arial"/>
        </w:rPr>
        <w:tab/>
      </w:r>
      <w:r w:rsidR="009D0B3A" w:rsidRPr="00741F75">
        <w:rPr>
          <w:rFonts w:ascii="Arial" w:hAnsi="Arial" w:cs="Arial"/>
          <w:b/>
          <w:bCs/>
          <w:lang w:val="en-GB"/>
        </w:rPr>
        <w:t xml:space="preserve">Magnus </w:t>
      </w:r>
      <w:proofErr w:type="spellStart"/>
      <w:r w:rsidR="009D0B3A" w:rsidRPr="00741F75">
        <w:rPr>
          <w:rFonts w:ascii="Arial" w:hAnsi="Arial" w:cs="Arial"/>
          <w:b/>
          <w:bCs/>
          <w:lang w:val="en-GB"/>
        </w:rPr>
        <w:t>Ejelonu</w:t>
      </w:r>
      <w:proofErr w:type="spellEnd"/>
      <w:r w:rsidR="009D0B3A" w:rsidRPr="00741F75">
        <w:rPr>
          <w:rFonts w:ascii="Arial" w:hAnsi="Arial" w:cs="Arial"/>
          <w:b/>
          <w:bCs/>
          <w:lang w:val="en-GB"/>
        </w:rPr>
        <w:t>, Associate Partner</w:t>
      </w:r>
      <w:r w:rsidR="00F73CB5">
        <w:rPr>
          <w:rFonts w:ascii="Arial" w:hAnsi="Arial" w:cs="Arial"/>
          <w:b/>
          <w:bCs/>
          <w:lang w:val="en-GB"/>
        </w:rPr>
        <w:t xml:space="preserve"> and</w:t>
      </w:r>
      <w:r w:rsidR="009D0B3A" w:rsidRPr="00741F75">
        <w:rPr>
          <w:rFonts w:ascii="Arial" w:hAnsi="Arial" w:cs="Arial"/>
          <w:b/>
          <w:bCs/>
          <w:lang w:val="en-GB"/>
        </w:rPr>
        <w:t xml:space="preserve"> </w:t>
      </w:r>
      <w:proofErr w:type="spellStart"/>
      <w:r w:rsidRPr="00741F75">
        <w:rPr>
          <w:rFonts w:ascii="Arial" w:hAnsi="Arial" w:cs="Arial"/>
          <w:b/>
          <w:bCs/>
          <w:lang w:val="en-GB"/>
        </w:rPr>
        <w:t>Damilola</w:t>
      </w:r>
      <w:proofErr w:type="spellEnd"/>
      <w:r w:rsidRPr="00741F75">
        <w:rPr>
          <w:rFonts w:ascii="Arial" w:hAnsi="Arial" w:cs="Arial"/>
          <w:b/>
          <w:bCs/>
          <w:lang w:val="en-GB"/>
        </w:rPr>
        <w:t xml:space="preserve"> </w:t>
      </w:r>
      <w:proofErr w:type="spellStart"/>
      <w:r w:rsidRPr="00741F75">
        <w:rPr>
          <w:rFonts w:ascii="Arial" w:hAnsi="Arial" w:cs="Arial"/>
          <w:b/>
          <w:bCs/>
          <w:lang w:val="en-GB"/>
        </w:rPr>
        <w:t>Akinsanya</w:t>
      </w:r>
      <w:proofErr w:type="spellEnd"/>
      <w:r w:rsidRPr="00741F75">
        <w:rPr>
          <w:rFonts w:ascii="Arial" w:hAnsi="Arial" w:cs="Arial"/>
          <w:b/>
          <w:bCs/>
          <w:lang w:val="en-GB"/>
        </w:rPr>
        <w:t xml:space="preserve">, Associate at S. P. A. </w:t>
      </w:r>
      <w:proofErr w:type="spellStart"/>
      <w:r w:rsidRPr="00741F75">
        <w:rPr>
          <w:rFonts w:ascii="Arial" w:hAnsi="Arial" w:cs="Arial"/>
          <w:b/>
          <w:bCs/>
          <w:lang w:val="en-GB"/>
        </w:rPr>
        <w:t>Ajibade</w:t>
      </w:r>
      <w:proofErr w:type="spellEnd"/>
      <w:r w:rsidRPr="00741F75">
        <w:rPr>
          <w:rFonts w:ascii="Arial" w:hAnsi="Arial" w:cs="Arial"/>
          <w:b/>
          <w:bCs/>
          <w:lang w:val="en-GB"/>
        </w:rPr>
        <w:t xml:space="preserve"> &amp; Co.</w:t>
      </w:r>
      <w:r w:rsidR="00F73CB5" w:rsidRPr="00741F75">
        <w:rPr>
          <w:rFonts w:ascii="Arial" w:hAnsi="Arial" w:cs="Arial"/>
          <w:b/>
          <w:bCs/>
          <w:lang w:val="en-GB"/>
        </w:rPr>
        <w:t>, Ibadan</w:t>
      </w:r>
      <w:r w:rsidR="00E725FA">
        <w:rPr>
          <w:rFonts w:ascii="Arial" w:hAnsi="Arial" w:cs="Arial"/>
          <w:b/>
          <w:bCs/>
          <w:lang w:val="en-GB"/>
        </w:rPr>
        <w:t>, Nigeria</w:t>
      </w:r>
      <w:r w:rsidR="00F73CB5" w:rsidRPr="00741F75">
        <w:rPr>
          <w:rFonts w:ascii="Arial" w:hAnsi="Arial" w:cs="Arial"/>
          <w:b/>
          <w:bCs/>
          <w:lang w:val="en-GB"/>
        </w:rPr>
        <w:t>.</w:t>
      </w:r>
    </w:p>
  </w:footnote>
  <w:footnote w:id="2">
    <w:p w14:paraId="149FD3B4" w14:textId="6AC01F74" w:rsidR="00DA1F6B" w:rsidRPr="00741F75" w:rsidRDefault="003E536F" w:rsidP="007C48F7">
      <w:pPr>
        <w:pStyle w:val="FootnoteText"/>
        <w:spacing w:line="276" w:lineRule="auto"/>
        <w:ind w:left="360" w:hanging="360"/>
        <w:jc w:val="both"/>
        <w:rPr>
          <w:rFonts w:ascii="Arial" w:hAnsi="Arial" w:cs="Arial"/>
          <w:lang w:val="en-GB"/>
        </w:rPr>
      </w:pPr>
      <w:r w:rsidRPr="00741F75">
        <w:rPr>
          <w:rStyle w:val="FootnoteReference"/>
          <w:rFonts w:ascii="Arial" w:hAnsi="Arial" w:cs="Arial"/>
        </w:rPr>
        <w:footnoteRef/>
      </w:r>
      <w:r w:rsidRPr="00741F75">
        <w:rPr>
          <w:rFonts w:ascii="Arial" w:hAnsi="Arial" w:cs="Arial"/>
        </w:rPr>
        <w:t xml:space="preserve"> </w:t>
      </w:r>
      <w:r w:rsidR="007C48F7">
        <w:rPr>
          <w:rFonts w:ascii="Arial" w:hAnsi="Arial" w:cs="Arial"/>
        </w:rPr>
        <w:tab/>
      </w:r>
      <w:r w:rsidR="002D1413" w:rsidRPr="00741F75">
        <w:rPr>
          <w:rFonts w:ascii="Arial" w:hAnsi="Arial" w:cs="Arial"/>
          <w:lang w:val="en-GB"/>
        </w:rPr>
        <w:t>See</w:t>
      </w:r>
      <w:r w:rsidR="00F73CB5" w:rsidRPr="00741F75">
        <w:rPr>
          <w:rFonts w:ascii="Arial" w:hAnsi="Arial" w:cs="Arial"/>
          <w:lang w:val="en-GB"/>
        </w:rPr>
        <w:t>,</w:t>
      </w:r>
      <w:r w:rsidR="002D1413" w:rsidRPr="00741F75">
        <w:rPr>
          <w:rFonts w:ascii="Arial" w:hAnsi="Arial" w:cs="Arial"/>
          <w:lang w:val="en-GB"/>
        </w:rPr>
        <w:t xml:space="preserve"> </w:t>
      </w:r>
      <w:proofErr w:type="spellStart"/>
      <w:r w:rsidR="002D1413" w:rsidRPr="00741F75">
        <w:rPr>
          <w:rFonts w:ascii="Arial" w:hAnsi="Arial" w:cs="Arial"/>
          <w:lang w:val="en-GB"/>
        </w:rPr>
        <w:t>Afribank</w:t>
      </w:r>
      <w:proofErr w:type="spellEnd"/>
      <w:r w:rsidR="002D1413" w:rsidRPr="00741F75">
        <w:rPr>
          <w:rFonts w:ascii="Arial" w:hAnsi="Arial" w:cs="Arial"/>
          <w:lang w:val="en-GB"/>
        </w:rPr>
        <w:t xml:space="preserve"> Nigeria Plc. </w:t>
      </w:r>
      <w:r w:rsidR="00F73CB5" w:rsidRPr="00741F75">
        <w:rPr>
          <w:rFonts w:ascii="Arial" w:hAnsi="Arial" w:cs="Arial"/>
          <w:lang w:val="en-GB"/>
        </w:rPr>
        <w:t>v</w:t>
      </w:r>
      <w:r w:rsidR="006F0746" w:rsidRPr="00741F75">
        <w:rPr>
          <w:rFonts w:ascii="Arial" w:hAnsi="Arial" w:cs="Arial"/>
          <w:lang w:val="en-GB"/>
        </w:rPr>
        <w:t>.</w:t>
      </w:r>
      <w:r w:rsidRPr="00741F75">
        <w:rPr>
          <w:rFonts w:ascii="Arial" w:hAnsi="Arial" w:cs="Arial"/>
          <w:lang w:val="en-GB"/>
        </w:rPr>
        <w:t xml:space="preserve"> Nigeria Deposit Insurance Corporation </w:t>
      </w:r>
      <w:r w:rsidR="002D1413" w:rsidRPr="00741F75">
        <w:rPr>
          <w:rFonts w:ascii="Arial" w:hAnsi="Arial" w:cs="Arial"/>
          <w:lang w:val="en-GB"/>
        </w:rPr>
        <w:t>[2015]</w:t>
      </w:r>
      <w:r w:rsidRPr="00741F75">
        <w:rPr>
          <w:rFonts w:ascii="Arial" w:hAnsi="Arial" w:cs="Arial"/>
          <w:lang w:val="en-GB"/>
        </w:rPr>
        <w:t xml:space="preserve"> LPELR-24654 (CA)</w:t>
      </w:r>
      <w:r w:rsidR="002D1413" w:rsidRPr="00741F75">
        <w:rPr>
          <w:rFonts w:ascii="Arial" w:hAnsi="Arial" w:cs="Arial"/>
          <w:lang w:val="en-GB"/>
        </w:rPr>
        <w:t>.</w:t>
      </w:r>
    </w:p>
  </w:footnote>
  <w:footnote w:id="3">
    <w:p w14:paraId="52895909" w14:textId="352CA9D7" w:rsidR="00DA1F6B" w:rsidRPr="00741F75" w:rsidRDefault="003E536F" w:rsidP="007C48F7">
      <w:pPr>
        <w:pStyle w:val="FootnoteText"/>
        <w:spacing w:line="276" w:lineRule="auto"/>
        <w:ind w:left="360" w:hanging="360"/>
        <w:jc w:val="both"/>
        <w:rPr>
          <w:rFonts w:ascii="Arial" w:hAnsi="Arial" w:cs="Arial"/>
          <w:lang w:val="en-GB"/>
        </w:rPr>
      </w:pPr>
      <w:r w:rsidRPr="00741F75">
        <w:rPr>
          <w:rStyle w:val="FootnoteReference"/>
          <w:rFonts w:ascii="Arial" w:hAnsi="Arial" w:cs="Arial"/>
        </w:rPr>
        <w:footnoteRef/>
      </w:r>
      <w:r w:rsidRPr="00741F75">
        <w:rPr>
          <w:rFonts w:ascii="Arial" w:hAnsi="Arial" w:cs="Arial"/>
        </w:rPr>
        <w:t xml:space="preserve"> </w:t>
      </w:r>
      <w:r w:rsidR="007C48F7">
        <w:rPr>
          <w:rFonts w:ascii="Arial" w:hAnsi="Arial" w:cs="Arial"/>
        </w:rPr>
        <w:tab/>
      </w:r>
      <w:r w:rsidR="002D1413" w:rsidRPr="00741F75">
        <w:rPr>
          <w:rFonts w:ascii="Arial" w:hAnsi="Arial" w:cs="Arial"/>
          <w:lang w:val="en-GB"/>
        </w:rPr>
        <w:t>See</w:t>
      </w:r>
      <w:r w:rsidR="00052A10">
        <w:rPr>
          <w:rFonts w:ascii="Arial" w:hAnsi="Arial" w:cs="Arial"/>
          <w:lang w:val="en-GB"/>
        </w:rPr>
        <w:t>,</w:t>
      </w:r>
      <w:r w:rsidR="002D1413" w:rsidRPr="00741F75">
        <w:rPr>
          <w:rFonts w:ascii="Arial" w:hAnsi="Arial" w:cs="Arial"/>
          <w:lang w:val="en-GB"/>
        </w:rPr>
        <w:t xml:space="preserve"> </w:t>
      </w:r>
      <w:r w:rsidRPr="00741F75">
        <w:rPr>
          <w:rFonts w:ascii="Arial" w:hAnsi="Arial" w:cs="Arial"/>
          <w:lang w:val="en-GB"/>
        </w:rPr>
        <w:t>Order 183 of the Companies Winding-Up Rules, 2001.</w:t>
      </w:r>
    </w:p>
  </w:footnote>
  <w:footnote w:id="4">
    <w:p w14:paraId="7A299465" w14:textId="3EA1E734" w:rsidR="00DC2DF2" w:rsidRPr="00741F75" w:rsidRDefault="003E536F" w:rsidP="007C48F7">
      <w:pPr>
        <w:pStyle w:val="FootnoteText"/>
        <w:spacing w:line="276" w:lineRule="auto"/>
        <w:ind w:left="360" w:hanging="360"/>
        <w:jc w:val="both"/>
        <w:rPr>
          <w:rFonts w:ascii="Arial" w:hAnsi="Arial" w:cs="Arial"/>
          <w:lang w:val="en-GB"/>
        </w:rPr>
      </w:pPr>
      <w:r w:rsidRPr="00741F75">
        <w:rPr>
          <w:rStyle w:val="FootnoteReference"/>
          <w:rFonts w:ascii="Arial" w:hAnsi="Arial" w:cs="Arial"/>
        </w:rPr>
        <w:footnoteRef/>
      </w:r>
      <w:r w:rsidRPr="00741F75">
        <w:rPr>
          <w:rFonts w:ascii="Arial" w:hAnsi="Arial" w:cs="Arial"/>
        </w:rPr>
        <w:t xml:space="preserve"> </w:t>
      </w:r>
      <w:r w:rsidR="007C48F7">
        <w:rPr>
          <w:rFonts w:ascii="Arial" w:hAnsi="Arial" w:cs="Arial"/>
        </w:rPr>
        <w:tab/>
      </w:r>
      <w:r w:rsidRPr="00741F75">
        <w:rPr>
          <w:rFonts w:ascii="Arial" w:hAnsi="Arial" w:cs="Arial"/>
          <w:lang w:val="en-GB"/>
        </w:rPr>
        <w:t xml:space="preserve">Order 4, Companies Winding-Up Rules 2001; this order originates from Order 8(1) of the abrogated English Companies (Winding-Up) Rules of 1949 which is </w:t>
      </w:r>
      <w:r w:rsidRPr="00741F75">
        <w:rPr>
          <w:rFonts w:ascii="Arial" w:hAnsi="Arial" w:cs="Arial"/>
          <w:i/>
          <w:lang w:val="en-GB"/>
        </w:rPr>
        <w:t xml:space="preserve">in </w:t>
      </w:r>
      <w:proofErr w:type="spellStart"/>
      <w:r w:rsidRPr="00741F75">
        <w:rPr>
          <w:rFonts w:ascii="Arial" w:hAnsi="Arial" w:cs="Arial"/>
          <w:i/>
          <w:lang w:val="en-GB"/>
        </w:rPr>
        <w:t>pari</w:t>
      </w:r>
      <w:proofErr w:type="spellEnd"/>
      <w:r w:rsidRPr="00741F75">
        <w:rPr>
          <w:rFonts w:ascii="Arial" w:hAnsi="Arial" w:cs="Arial"/>
          <w:i/>
          <w:lang w:val="en-GB"/>
        </w:rPr>
        <w:t xml:space="preserve"> </w:t>
      </w:r>
      <w:proofErr w:type="spellStart"/>
      <w:r w:rsidRPr="00741F75">
        <w:rPr>
          <w:rFonts w:ascii="Arial" w:hAnsi="Arial" w:cs="Arial"/>
          <w:i/>
          <w:lang w:val="en-GB"/>
        </w:rPr>
        <w:t>materia</w:t>
      </w:r>
      <w:proofErr w:type="spellEnd"/>
      <w:r w:rsidRPr="00741F75">
        <w:rPr>
          <w:rFonts w:ascii="Arial" w:hAnsi="Arial" w:cs="Arial"/>
          <w:lang w:val="en-GB"/>
        </w:rPr>
        <w:t xml:space="preserve"> with the extant provision except that the English Rules provides for an allowance of two clear days (as opposed to five) for the time between the service and hearing of the motion on notice.</w:t>
      </w:r>
    </w:p>
  </w:footnote>
  <w:footnote w:id="5">
    <w:p w14:paraId="282ED6A3" w14:textId="766CDB21" w:rsidR="00394955" w:rsidRPr="00741F75" w:rsidRDefault="003E536F" w:rsidP="007C48F7">
      <w:pPr>
        <w:pStyle w:val="FootnoteText"/>
        <w:spacing w:line="276" w:lineRule="auto"/>
        <w:ind w:left="360" w:hanging="360"/>
        <w:jc w:val="both"/>
        <w:rPr>
          <w:rFonts w:ascii="Arial" w:hAnsi="Arial" w:cs="Arial"/>
          <w:lang w:val="en-GB"/>
        </w:rPr>
      </w:pPr>
      <w:r w:rsidRPr="00741F75">
        <w:rPr>
          <w:rStyle w:val="FootnoteReference"/>
          <w:rFonts w:ascii="Arial" w:hAnsi="Arial" w:cs="Arial"/>
        </w:rPr>
        <w:footnoteRef/>
      </w:r>
      <w:r w:rsidRPr="00741F75">
        <w:rPr>
          <w:rFonts w:ascii="Arial" w:hAnsi="Arial" w:cs="Arial"/>
        </w:rPr>
        <w:t xml:space="preserve"> </w:t>
      </w:r>
      <w:r w:rsidR="007C48F7">
        <w:rPr>
          <w:rFonts w:ascii="Arial" w:hAnsi="Arial" w:cs="Arial"/>
        </w:rPr>
        <w:tab/>
      </w:r>
      <w:r w:rsidRPr="00741F75">
        <w:rPr>
          <w:rFonts w:ascii="Arial" w:hAnsi="Arial" w:cs="Arial"/>
          <w:lang w:val="en-GB"/>
        </w:rPr>
        <w:t>See</w:t>
      </w:r>
      <w:r w:rsidR="00F73CB5" w:rsidRPr="00741F75">
        <w:rPr>
          <w:rFonts w:ascii="Arial" w:hAnsi="Arial" w:cs="Arial"/>
          <w:lang w:val="en-GB"/>
        </w:rPr>
        <w:t>,</w:t>
      </w:r>
      <w:r w:rsidRPr="00741F75">
        <w:rPr>
          <w:rFonts w:ascii="Arial" w:hAnsi="Arial" w:cs="Arial"/>
          <w:lang w:val="en-GB"/>
        </w:rPr>
        <w:t xml:space="preserve"> Honeywell Flour Mills Plc v</w:t>
      </w:r>
      <w:r w:rsidR="006F0746" w:rsidRPr="00741F75">
        <w:rPr>
          <w:rFonts w:ascii="Arial" w:hAnsi="Arial" w:cs="Arial"/>
          <w:lang w:val="en-GB"/>
        </w:rPr>
        <w:t xml:space="preserve">. </w:t>
      </w:r>
      <w:proofErr w:type="spellStart"/>
      <w:r w:rsidR="006F0746" w:rsidRPr="00741F75">
        <w:rPr>
          <w:rFonts w:ascii="Arial" w:hAnsi="Arial" w:cs="Arial"/>
          <w:lang w:val="en-GB"/>
        </w:rPr>
        <w:t>Ecobank</w:t>
      </w:r>
      <w:proofErr w:type="spellEnd"/>
      <w:r w:rsidR="006F0746" w:rsidRPr="00741F75">
        <w:rPr>
          <w:rFonts w:ascii="Arial" w:hAnsi="Arial" w:cs="Arial"/>
          <w:lang w:val="en-GB"/>
        </w:rPr>
        <w:t xml:space="preserve"> Nigeria Limited [2016]</w:t>
      </w:r>
      <w:r w:rsidRPr="00741F75">
        <w:rPr>
          <w:rFonts w:ascii="Arial" w:hAnsi="Arial" w:cs="Arial"/>
          <w:lang w:val="en-GB"/>
        </w:rPr>
        <w:t xml:space="preserve"> 16 NWLR (</w:t>
      </w:r>
      <w:r w:rsidR="00F73CB5" w:rsidRPr="00741F75">
        <w:rPr>
          <w:rFonts w:ascii="Arial" w:hAnsi="Arial" w:cs="Arial"/>
          <w:lang w:val="en-GB"/>
        </w:rPr>
        <w:t>P</w:t>
      </w:r>
      <w:r w:rsidR="006F0746" w:rsidRPr="00741F75">
        <w:rPr>
          <w:rFonts w:ascii="Arial" w:hAnsi="Arial" w:cs="Arial"/>
          <w:lang w:val="en-GB"/>
        </w:rPr>
        <w:t>t</w:t>
      </w:r>
      <w:r w:rsidRPr="00741F75">
        <w:rPr>
          <w:rFonts w:ascii="Arial" w:hAnsi="Arial" w:cs="Arial"/>
          <w:lang w:val="en-GB"/>
        </w:rPr>
        <w:t>. 1539) 387</w:t>
      </w:r>
      <w:r w:rsidR="002F6694" w:rsidRPr="00741F75">
        <w:rPr>
          <w:rFonts w:ascii="Arial" w:hAnsi="Arial" w:cs="Arial"/>
          <w:lang w:val="en-GB"/>
        </w:rPr>
        <w:t xml:space="preserve"> and</w:t>
      </w:r>
      <w:r w:rsidRPr="00741F75">
        <w:rPr>
          <w:rFonts w:ascii="Arial" w:hAnsi="Arial" w:cs="Arial"/>
          <w:lang w:val="en-GB"/>
        </w:rPr>
        <w:t xml:space="preserve"> </w:t>
      </w:r>
      <w:proofErr w:type="spellStart"/>
      <w:r w:rsidRPr="00741F75">
        <w:rPr>
          <w:rFonts w:ascii="Arial" w:hAnsi="Arial" w:cs="Arial"/>
          <w:lang w:val="en-GB"/>
        </w:rPr>
        <w:t>Cansco</w:t>
      </w:r>
      <w:proofErr w:type="spellEnd"/>
      <w:r w:rsidRPr="00741F75">
        <w:rPr>
          <w:rFonts w:ascii="Arial" w:hAnsi="Arial" w:cs="Arial"/>
          <w:lang w:val="en-GB"/>
        </w:rPr>
        <w:t xml:space="preserve"> Dubai LLC v</w:t>
      </w:r>
      <w:r w:rsidR="002F6694" w:rsidRPr="00741F75">
        <w:rPr>
          <w:rFonts w:ascii="Arial" w:hAnsi="Arial" w:cs="Arial"/>
          <w:lang w:val="en-GB"/>
        </w:rPr>
        <w:t>.</w:t>
      </w:r>
      <w:r w:rsidRPr="00741F75">
        <w:rPr>
          <w:rFonts w:ascii="Arial" w:hAnsi="Arial" w:cs="Arial"/>
          <w:lang w:val="en-GB"/>
        </w:rPr>
        <w:t xml:space="preserve"> </w:t>
      </w:r>
      <w:proofErr w:type="spellStart"/>
      <w:r w:rsidRPr="00741F75">
        <w:rPr>
          <w:rFonts w:ascii="Arial" w:hAnsi="Arial" w:cs="Arial"/>
          <w:lang w:val="en-GB"/>
        </w:rPr>
        <w:t>Seawol</w:t>
      </w:r>
      <w:r w:rsidR="002F6694" w:rsidRPr="00741F75">
        <w:rPr>
          <w:rFonts w:ascii="Arial" w:hAnsi="Arial" w:cs="Arial"/>
          <w:lang w:val="en-GB"/>
        </w:rPr>
        <w:t>f</w:t>
      </w:r>
      <w:proofErr w:type="spellEnd"/>
      <w:r w:rsidR="002F6694" w:rsidRPr="00741F75">
        <w:rPr>
          <w:rFonts w:ascii="Arial" w:hAnsi="Arial" w:cs="Arial"/>
          <w:lang w:val="en-GB"/>
        </w:rPr>
        <w:t xml:space="preserve"> Oilfield Services Ltd &amp; Anor [2018]</w:t>
      </w:r>
      <w:r w:rsidRPr="00741F75">
        <w:rPr>
          <w:rFonts w:ascii="Arial" w:hAnsi="Arial" w:cs="Arial"/>
          <w:lang w:val="en-GB"/>
        </w:rPr>
        <w:t xml:space="preserve"> LPELR-43674 (CA).</w:t>
      </w:r>
    </w:p>
  </w:footnote>
  <w:footnote w:id="6">
    <w:p w14:paraId="27ECED14" w14:textId="491F822A" w:rsidR="007F0147" w:rsidRPr="00741F75" w:rsidRDefault="003E536F" w:rsidP="007C48F7">
      <w:pPr>
        <w:pStyle w:val="FootnoteText"/>
        <w:ind w:left="360" w:hanging="360"/>
        <w:jc w:val="both"/>
        <w:rPr>
          <w:rFonts w:ascii="Arial" w:hAnsi="Arial" w:cs="Arial"/>
          <w:lang w:val="en-GB"/>
        </w:rPr>
      </w:pPr>
      <w:r w:rsidRPr="00741F75">
        <w:rPr>
          <w:rStyle w:val="FootnoteReference"/>
          <w:rFonts w:ascii="Arial" w:hAnsi="Arial" w:cs="Arial"/>
        </w:rPr>
        <w:footnoteRef/>
      </w:r>
      <w:r w:rsidRPr="00741F75">
        <w:rPr>
          <w:rFonts w:ascii="Arial" w:hAnsi="Arial" w:cs="Arial"/>
        </w:rPr>
        <w:t xml:space="preserve"> </w:t>
      </w:r>
      <w:r w:rsidR="007C48F7">
        <w:rPr>
          <w:rFonts w:ascii="Arial" w:hAnsi="Arial" w:cs="Arial"/>
        </w:rPr>
        <w:tab/>
      </w:r>
      <w:r w:rsidRPr="00741F75">
        <w:rPr>
          <w:rFonts w:ascii="Arial" w:hAnsi="Arial" w:cs="Arial"/>
          <w:lang w:val="en-GB"/>
        </w:rPr>
        <w:t>[2018] LPELR-45858(CA)</w:t>
      </w:r>
      <w:r w:rsidR="00804BE4" w:rsidRPr="00741F75">
        <w:rPr>
          <w:rFonts w:ascii="Arial" w:hAnsi="Arial" w:cs="Arial"/>
          <w:lang w:val="en-GB"/>
        </w:rPr>
        <w:t>.</w:t>
      </w:r>
    </w:p>
  </w:footnote>
  <w:footnote w:id="7">
    <w:p w14:paraId="474FE524" w14:textId="58D164CA" w:rsidR="007F0147" w:rsidRPr="00741F75" w:rsidRDefault="003E536F" w:rsidP="007C48F7">
      <w:pPr>
        <w:pStyle w:val="FootnoteText"/>
        <w:ind w:left="360" w:hanging="360"/>
        <w:jc w:val="both"/>
        <w:rPr>
          <w:rFonts w:ascii="Arial" w:hAnsi="Arial" w:cs="Arial"/>
          <w:lang w:val="en-GB"/>
        </w:rPr>
      </w:pPr>
      <w:r w:rsidRPr="00741F75">
        <w:rPr>
          <w:rStyle w:val="FootnoteReference"/>
          <w:rFonts w:ascii="Arial" w:hAnsi="Arial" w:cs="Arial"/>
        </w:rPr>
        <w:footnoteRef/>
      </w:r>
      <w:r w:rsidRPr="00741F75">
        <w:rPr>
          <w:rFonts w:ascii="Arial" w:hAnsi="Arial" w:cs="Arial"/>
        </w:rPr>
        <w:t xml:space="preserve"> </w:t>
      </w:r>
      <w:r w:rsidR="007C48F7">
        <w:rPr>
          <w:rFonts w:ascii="Arial" w:hAnsi="Arial" w:cs="Arial"/>
        </w:rPr>
        <w:tab/>
      </w:r>
      <w:r w:rsidRPr="00741F75">
        <w:rPr>
          <w:rFonts w:ascii="Arial" w:hAnsi="Arial" w:cs="Arial"/>
          <w:i/>
          <w:lang w:val="en-GB"/>
        </w:rPr>
        <w:t>Ibid</w:t>
      </w:r>
      <w:r w:rsidRPr="00741F75">
        <w:rPr>
          <w:rFonts w:ascii="Arial" w:hAnsi="Arial" w:cs="Arial"/>
          <w:lang w:val="en-GB"/>
        </w:rPr>
        <w:t xml:space="preserve"> at </w:t>
      </w:r>
      <w:r w:rsidR="00F73CB5" w:rsidRPr="00741F75">
        <w:rPr>
          <w:rFonts w:ascii="Arial" w:hAnsi="Arial" w:cs="Arial"/>
          <w:lang w:val="en-GB"/>
        </w:rPr>
        <w:t>pp.</w:t>
      </w:r>
      <w:r w:rsidR="00645725" w:rsidRPr="00741F75">
        <w:rPr>
          <w:rFonts w:ascii="Arial" w:hAnsi="Arial" w:cs="Arial"/>
          <w:bCs/>
          <w:lang w:val="en-GB"/>
        </w:rPr>
        <w:t xml:space="preserve"> 18-</w:t>
      </w:r>
      <w:r w:rsidRPr="00741F75">
        <w:rPr>
          <w:rFonts w:ascii="Arial" w:hAnsi="Arial" w:cs="Arial"/>
          <w:bCs/>
          <w:lang w:val="en-GB"/>
        </w:rPr>
        <w:t>21 paras C-C.</w:t>
      </w:r>
    </w:p>
  </w:footnote>
  <w:footnote w:id="8">
    <w:p w14:paraId="5F167DDA" w14:textId="741489EC" w:rsidR="00394955" w:rsidRPr="00741F75" w:rsidRDefault="003E536F" w:rsidP="007C48F7">
      <w:pPr>
        <w:pStyle w:val="FootnoteText"/>
        <w:spacing w:line="276" w:lineRule="auto"/>
        <w:ind w:left="360" w:hanging="360"/>
        <w:jc w:val="both"/>
        <w:rPr>
          <w:rFonts w:ascii="Arial" w:hAnsi="Arial" w:cs="Arial"/>
          <w:lang w:val="en-GB"/>
        </w:rPr>
      </w:pPr>
      <w:r w:rsidRPr="00741F75">
        <w:rPr>
          <w:rStyle w:val="FootnoteReference"/>
          <w:rFonts w:ascii="Arial" w:hAnsi="Arial" w:cs="Arial"/>
        </w:rPr>
        <w:footnoteRef/>
      </w:r>
      <w:r w:rsidRPr="00741F75">
        <w:rPr>
          <w:rFonts w:ascii="Arial" w:hAnsi="Arial" w:cs="Arial"/>
        </w:rPr>
        <w:t xml:space="preserve"> </w:t>
      </w:r>
      <w:r w:rsidR="007C48F7">
        <w:rPr>
          <w:rFonts w:ascii="Arial" w:hAnsi="Arial" w:cs="Arial"/>
        </w:rPr>
        <w:tab/>
      </w:r>
      <w:r w:rsidR="00937D6C" w:rsidRPr="00741F75">
        <w:rPr>
          <w:rFonts w:ascii="Arial" w:hAnsi="Arial" w:cs="Arial"/>
          <w:lang w:val="en-GB"/>
        </w:rPr>
        <w:t>See</w:t>
      </w:r>
      <w:r w:rsidR="00F73CB5" w:rsidRPr="00741F75">
        <w:rPr>
          <w:rFonts w:ascii="Arial" w:hAnsi="Arial" w:cs="Arial"/>
          <w:lang w:val="en-GB"/>
        </w:rPr>
        <w:t>,</w:t>
      </w:r>
      <w:r w:rsidR="00937D6C" w:rsidRPr="00741F75">
        <w:rPr>
          <w:rFonts w:ascii="Arial" w:hAnsi="Arial" w:cs="Arial"/>
          <w:lang w:val="en-GB"/>
        </w:rPr>
        <w:t xml:space="preserve"> </w:t>
      </w:r>
      <w:proofErr w:type="spellStart"/>
      <w:r w:rsidRPr="00741F75">
        <w:rPr>
          <w:rFonts w:ascii="Arial" w:hAnsi="Arial" w:cs="Arial"/>
          <w:lang w:val="en-GB"/>
        </w:rPr>
        <w:t>Afribank</w:t>
      </w:r>
      <w:proofErr w:type="spellEnd"/>
      <w:r w:rsidRPr="00741F75">
        <w:rPr>
          <w:rFonts w:ascii="Arial" w:hAnsi="Arial" w:cs="Arial"/>
          <w:lang w:val="en-GB"/>
        </w:rPr>
        <w:t xml:space="preserve"> Nigeria Plc. &amp; </w:t>
      </w:r>
      <w:proofErr w:type="spellStart"/>
      <w:r w:rsidRPr="00741F75">
        <w:rPr>
          <w:rFonts w:ascii="Arial" w:hAnsi="Arial" w:cs="Arial"/>
          <w:lang w:val="en-GB"/>
        </w:rPr>
        <w:t>Ors</w:t>
      </w:r>
      <w:proofErr w:type="spellEnd"/>
      <w:r w:rsidRPr="00741F75">
        <w:rPr>
          <w:rFonts w:ascii="Arial" w:hAnsi="Arial" w:cs="Arial"/>
          <w:lang w:val="en-GB"/>
        </w:rPr>
        <w:t xml:space="preserve"> v Nigeria Deposit Insurance Corporation (</w:t>
      </w:r>
      <w:r w:rsidR="00937D6C" w:rsidRPr="00741F75">
        <w:rPr>
          <w:rFonts w:ascii="Arial" w:hAnsi="Arial" w:cs="Arial"/>
          <w:lang w:val="en-GB"/>
        </w:rPr>
        <w:t>supra</w:t>
      </w:r>
      <w:r w:rsidRPr="00741F75">
        <w:rPr>
          <w:rFonts w:ascii="Arial" w:hAnsi="Arial" w:cs="Arial"/>
          <w:lang w:val="en-GB"/>
        </w:rPr>
        <w:t>).</w:t>
      </w:r>
    </w:p>
  </w:footnote>
  <w:footnote w:id="9">
    <w:p w14:paraId="1A81F1B6" w14:textId="52FC1C31" w:rsidR="0092178E" w:rsidRPr="00741F75" w:rsidRDefault="003E536F" w:rsidP="007C48F7">
      <w:pPr>
        <w:pStyle w:val="FootnoteText"/>
        <w:spacing w:line="276" w:lineRule="auto"/>
        <w:ind w:left="360" w:hanging="360"/>
        <w:jc w:val="both"/>
        <w:rPr>
          <w:rFonts w:ascii="Arial" w:hAnsi="Arial" w:cs="Arial"/>
          <w:lang w:val="en-GB"/>
        </w:rPr>
      </w:pPr>
      <w:r w:rsidRPr="00741F75">
        <w:rPr>
          <w:rStyle w:val="FootnoteReference"/>
          <w:rFonts w:ascii="Arial" w:hAnsi="Arial" w:cs="Arial"/>
        </w:rPr>
        <w:footnoteRef/>
      </w:r>
      <w:r w:rsidRPr="00741F75">
        <w:rPr>
          <w:rFonts w:ascii="Arial" w:hAnsi="Arial" w:cs="Arial"/>
        </w:rPr>
        <w:t xml:space="preserve"> </w:t>
      </w:r>
      <w:r w:rsidR="007C48F7">
        <w:rPr>
          <w:rFonts w:ascii="Arial" w:hAnsi="Arial" w:cs="Arial"/>
        </w:rPr>
        <w:tab/>
      </w:r>
      <w:r w:rsidRPr="00741F75">
        <w:rPr>
          <w:rFonts w:ascii="Arial" w:hAnsi="Arial" w:cs="Arial"/>
          <w:lang w:val="en-GB"/>
        </w:rPr>
        <w:t>(</w:t>
      </w:r>
      <w:proofErr w:type="gramStart"/>
      <w:r w:rsidRPr="00741F75">
        <w:rPr>
          <w:rFonts w:ascii="Arial" w:hAnsi="Arial" w:cs="Arial"/>
          <w:lang w:val="en-GB"/>
        </w:rPr>
        <w:t>supra</w:t>
      </w:r>
      <w:proofErr w:type="gramEnd"/>
      <w:r w:rsidRPr="00741F75">
        <w:rPr>
          <w:rFonts w:ascii="Arial" w:hAnsi="Arial" w:cs="Arial"/>
          <w:lang w:val="en-GB"/>
        </w:rPr>
        <w:t>).</w:t>
      </w:r>
    </w:p>
  </w:footnote>
  <w:footnote w:id="10">
    <w:p w14:paraId="146C950F" w14:textId="2CD26E93" w:rsidR="002A7A86" w:rsidRPr="00741F75" w:rsidRDefault="003E536F" w:rsidP="007C48F7">
      <w:pPr>
        <w:pStyle w:val="FootnoteText"/>
        <w:spacing w:line="276" w:lineRule="auto"/>
        <w:ind w:left="360" w:hanging="360"/>
        <w:jc w:val="both"/>
        <w:rPr>
          <w:rFonts w:ascii="Arial" w:hAnsi="Arial" w:cs="Arial"/>
          <w:lang w:val="en-GB"/>
        </w:rPr>
      </w:pPr>
      <w:r w:rsidRPr="00741F75">
        <w:rPr>
          <w:rStyle w:val="FootnoteReference"/>
          <w:rFonts w:ascii="Arial" w:hAnsi="Arial" w:cs="Arial"/>
        </w:rPr>
        <w:footnoteRef/>
      </w:r>
      <w:r w:rsidR="00C217DD" w:rsidRPr="00741F75">
        <w:rPr>
          <w:rFonts w:ascii="Arial" w:hAnsi="Arial" w:cs="Arial"/>
        </w:rPr>
        <w:t xml:space="preserve"> </w:t>
      </w:r>
      <w:r w:rsidR="007C48F7">
        <w:rPr>
          <w:rFonts w:ascii="Arial" w:hAnsi="Arial" w:cs="Arial"/>
        </w:rPr>
        <w:tab/>
      </w:r>
      <w:r w:rsidR="00C217DD" w:rsidRPr="00741F75">
        <w:rPr>
          <w:rFonts w:ascii="Arial" w:hAnsi="Arial" w:cs="Arial"/>
        </w:rPr>
        <w:t>[1995]</w:t>
      </w:r>
      <w:r w:rsidRPr="00741F75">
        <w:rPr>
          <w:rFonts w:ascii="Arial" w:hAnsi="Arial" w:cs="Arial"/>
        </w:rPr>
        <w:t xml:space="preserve"> 5 NWLR (Pt.393) 9</w:t>
      </w:r>
      <w:r w:rsidR="00C217DD" w:rsidRPr="00741F75">
        <w:rPr>
          <w:rFonts w:ascii="Arial" w:hAnsi="Arial" w:cs="Arial"/>
          <w:lang w:val="en-GB"/>
        </w:rPr>
        <w:t>.</w:t>
      </w:r>
    </w:p>
  </w:footnote>
  <w:footnote w:id="11">
    <w:p w14:paraId="249F2C0E" w14:textId="1FE8D106" w:rsidR="008A4EA7" w:rsidRPr="00741F75" w:rsidRDefault="003E536F" w:rsidP="007C48F7">
      <w:pPr>
        <w:pStyle w:val="FootnoteText"/>
        <w:spacing w:line="276" w:lineRule="auto"/>
        <w:ind w:left="360" w:hanging="360"/>
        <w:jc w:val="both"/>
        <w:rPr>
          <w:rFonts w:ascii="Arial" w:hAnsi="Arial" w:cs="Arial"/>
          <w:lang w:val="en-GB"/>
        </w:rPr>
      </w:pPr>
      <w:r w:rsidRPr="00741F75">
        <w:rPr>
          <w:rStyle w:val="FootnoteReference"/>
          <w:rFonts w:ascii="Arial" w:hAnsi="Arial" w:cs="Arial"/>
        </w:rPr>
        <w:footnoteRef/>
      </w:r>
      <w:r w:rsidR="00C217DD" w:rsidRPr="00741F75">
        <w:rPr>
          <w:rFonts w:ascii="Arial" w:hAnsi="Arial" w:cs="Arial"/>
        </w:rPr>
        <w:t xml:space="preserve"> </w:t>
      </w:r>
      <w:r w:rsidR="007C48F7">
        <w:rPr>
          <w:rFonts w:ascii="Arial" w:hAnsi="Arial" w:cs="Arial"/>
        </w:rPr>
        <w:tab/>
      </w:r>
      <w:r w:rsidR="00C217DD" w:rsidRPr="00741F75">
        <w:rPr>
          <w:rFonts w:ascii="Arial" w:hAnsi="Arial" w:cs="Arial"/>
        </w:rPr>
        <w:t>[2021]</w:t>
      </w:r>
      <w:r w:rsidRPr="00741F75">
        <w:rPr>
          <w:rFonts w:ascii="Arial" w:hAnsi="Arial" w:cs="Arial"/>
        </w:rPr>
        <w:t xml:space="preserve"> LPELR-54557(CA)</w:t>
      </w:r>
      <w:r w:rsidR="00C217DD" w:rsidRPr="00741F75">
        <w:rPr>
          <w:rFonts w:ascii="Arial" w:hAnsi="Arial" w:cs="Arial"/>
          <w:lang w:val="en-GB"/>
        </w:rPr>
        <w:t>.</w:t>
      </w:r>
    </w:p>
  </w:footnote>
  <w:footnote w:id="12">
    <w:p w14:paraId="3A8AB34E" w14:textId="41A7A1EE" w:rsidR="000775E2" w:rsidRPr="00741F75" w:rsidRDefault="003E536F" w:rsidP="007C48F7">
      <w:pPr>
        <w:pStyle w:val="FootnoteText"/>
        <w:ind w:left="360" w:hanging="360"/>
        <w:jc w:val="both"/>
        <w:rPr>
          <w:rFonts w:ascii="Arial" w:hAnsi="Arial" w:cs="Arial"/>
          <w:lang w:val="en-GB"/>
        </w:rPr>
      </w:pPr>
      <w:r w:rsidRPr="00741F75">
        <w:rPr>
          <w:rStyle w:val="FootnoteReference"/>
          <w:rFonts w:ascii="Arial" w:hAnsi="Arial" w:cs="Arial"/>
        </w:rPr>
        <w:footnoteRef/>
      </w:r>
      <w:r w:rsidR="00F51098" w:rsidRPr="00741F75">
        <w:rPr>
          <w:rFonts w:ascii="Arial" w:hAnsi="Arial" w:cs="Arial"/>
        </w:rPr>
        <w:t xml:space="preserve"> </w:t>
      </w:r>
      <w:r w:rsidR="007C48F7">
        <w:rPr>
          <w:rFonts w:ascii="Arial" w:hAnsi="Arial" w:cs="Arial"/>
        </w:rPr>
        <w:tab/>
      </w:r>
      <w:r w:rsidR="00F51098" w:rsidRPr="00741F75">
        <w:rPr>
          <w:rFonts w:ascii="Arial" w:hAnsi="Arial" w:cs="Arial"/>
          <w:i/>
        </w:rPr>
        <w:t>Ibid</w:t>
      </w:r>
      <w:r w:rsidR="00F51098" w:rsidRPr="00741F75">
        <w:rPr>
          <w:rFonts w:ascii="Arial" w:hAnsi="Arial" w:cs="Arial"/>
        </w:rPr>
        <w:t xml:space="preserve"> at p</w:t>
      </w:r>
      <w:r w:rsidR="00F73CB5" w:rsidRPr="00741F75">
        <w:rPr>
          <w:rFonts w:ascii="Arial" w:hAnsi="Arial" w:cs="Arial"/>
        </w:rPr>
        <w:t>p.</w:t>
      </w:r>
      <w:r w:rsidR="00F51098" w:rsidRPr="00741F75">
        <w:rPr>
          <w:rFonts w:ascii="Arial" w:hAnsi="Arial" w:cs="Arial"/>
        </w:rPr>
        <w:t xml:space="preserve"> 29-37 paras F-E</w:t>
      </w:r>
      <w:r w:rsidR="00F1333F" w:rsidRPr="00741F75">
        <w:rPr>
          <w:rFonts w:ascii="Arial" w:hAnsi="Arial" w:cs="Arial"/>
        </w:rPr>
        <w:t xml:space="preserve">, </w:t>
      </w:r>
      <w:r w:rsidR="00F1333F" w:rsidRPr="00741F75">
        <w:rPr>
          <w:rFonts w:ascii="Arial" w:hAnsi="Arial" w:cs="Arial"/>
          <w:lang w:val="en-GB"/>
        </w:rPr>
        <w:t>per</w:t>
      </w:r>
      <w:r w:rsidR="00F1333F" w:rsidRPr="00741F75">
        <w:rPr>
          <w:rFonts w:ascii="Arial" w:hAnsi="Arial" w:cs="Arial"/>
          <w:bCs/>
        </w:rPr>
        <w:t xml:space="preserve"> Georgewill JCA.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80DD3"/>
    <w:multiLevelType w:val="multilevel"/>
    <w:tmpl w:val="B84A5EFC"/>
    <w:lvl w:ilvl="0">
      <w:start w:val="1"/>
      <w:numFmt w:val="decimal"/>
      <w:lvlText w:val="%1."/>
      <w:lvlJc w:val="left"/>
      <w:pPr>
        <w:ind w:left="720" w:hanging="360"/>
      </w:pPr>
      <w:rPr>
        <w:rFonts w:hint="default"/>
        <w:b/>
        <w:sz w:val="24"/>
        <w:szCs w:val="24"/>
      </w:rPr>
    </w:lvl>
    <w:lvl w:ilvl="1">
      <w:start w:val="1"/>
      <w:numFmt w:val="decimal"/>
      <w:isLgl/>
      <w:lvlText w:val="%1.%2"/>
      <w:lvlJc w:val="left"/>
      <w:pPr>
        <w:ind w:left="1080" w:hanging="360"/>
      </w:pPr>
      <w:rPr>
        <w:rFonts w:hint="default"/>
        <w:b w:val="0"/>
      </w:rPr>
    </w:lvl>
    <w:lvl w:ilvl="2">
      <w:numFmt w:val="upp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FDB6637"/>
    <w:multiLevelType w:val="hybridMultilevel"/>
    <w:tmpl w:val="5BC632DE"/>
    <w:lvl w:ilvl="0" w:tplc="B548118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015222C"/>
    <w:multiLevelType w:val="hybridMultilevel"/>
    <w:tmpl w:val="31AE4F88"/>
    <w:lvl w:ilvl="0" w:tplc="1ED06092">
      <w:start w:val="9"/>
      <w:numFmt w:val="lowerLetter"/>
      <w:lvlText w:val="(%1)"/>
      <w:lvlJc w:val="left"/>
      <w:pPr>
        <w:ind w:left="1440" w:hanging="360"/>
      </w:pPr>
      <w:rPr>
        <w:rFonts w:hint="default"/>
      </w:rPr>
    </w:lvl>
    <w:lvl w:ilvl="1" w:tplc="2490FAA2" w:tentative="1">
      <w:start w:val="1"/>
      <w:numFmt w:val="lowerLetter"/>
      <w:lvlText w:val="%2."/>
      <w:lvlJc w:val="left"/>
      <w:pPr>
        <w:ind w:left="2160" w:hanging="360"/>
      </w:pPr>
    </w:lvl>
    <w:lvl w:ilvl="2" w:tplc="E1F4D14A" w:tentative="1">
      <w:start w:val="1"/>
      <w:numFmt w:val="lowerRoman"/>
      <w:lvlText w:val="%3."/>
      <w:lvlJc w:val="right"/>
      <w:pPr>
        <w:ind w:left="2880" w:hanging="180"/>
      </w:pPr>
    </w:lvl>
    <w:lvl w:ilvl="3" w:tplc="9370A8A0" w:tentative="1">
      <w:start w:val="1"/>
      <w:numFmt w:val="decimal"/>
      <w:lvlText w:val="%4."/>
      <w:lvlJc w:val="left"/>
      <w:pPr>
        <w:ind w:left="3600" w:hanging="360"/>
      </w:pPr>
    </w:lvl>
    <w:lvl w:ilvl="4" w:tplc="A874DF66" w:tentative="1">
      <w:start w:val="1"/>
      <w:numFmt w:val="lowerLetter"/>
      <w:lvlText w:val="%5."/>
      <w:lvlJc w:val="left"/>
      <w:pPr>
        <w:ind w:left="4320" w:hanging="360"/>
      </w:pPr>
    </w:lvl>
    <w:lvl w:ilvl="5" w:tplc="D05AA530" w:tentative="1">
      <w:start w:val="1"/>
      <w:numFmt w:val="lowerRoman"/>
      <w:lvlText w:val="%6."/>
      <w:lvlJc w:val="right"/>
      <w:pPr>
        <w:ind w:left="5040" w:hanging="180"/>
      </w:pPr>
    </w:lvl>
    <w:lvl w:ilvl="6" w:tplc="C4E87A54" w:tentative="1">
      <w:start w:val="1"/>
      <w:numFmt w:val="decimal"/>
      <w:lvlText w:val="%7."/>
      <w:lvlJc w:val="left"/>
      <w:pPr>
        <w:ind w:left="5760" w:hanging="360"/>
      </w:pPr>
    </w:lvl>
    <w:lvl w:ilvl="7" w:tplc="7E62E9B0" w:tentative="1">
      <w:start w:val="1"/>
      <w:numFmt w:val="lowerLetter"/>
      <w:lvlText w:val="%8."/>
      <w:lvlJc w:val="left"/>
      <w:pPr>
        <w:ind w:left="6480" w:hanging="360"/>
      </w:pPr>
    </w:lvl>
    <w:lvl w:ilvl="8" w:tplc="A20E629E" w:tentative="1">
      <w:start w:val="1"/>
      <w:numFmt w:val="lowerRoman"/>
      <w:lvlText w:val="%9."/>
      <w:lvlJc w:val="right"/>
      <w:pPr>
        <w:ind w:left="7200" w:hanging="180"/>
      </w:pPr>
    </w:lvl>
  </w:abstractNum>
  <w:abstractNum w:abstractNumId="3" w15:restartNumberingAfterBreak="0">
    <w:nsid w:val="71785679"/>
    <w:multiLevelType w:val="hybridMultilevel"/>
    <w:tmpl w:val="31806A4A"/>
    <w:lvl w:ilvl="0" w:tplc="CF2418C2">
      <w:start w:val="1"/>
      <w:numFmt w:val="lowerLetter"/>
      <w:lvlText w:val="(%1)"/>
      <w:lvlJc w:val="left"/>
      <w:pPr>
        <w:ind w:left="720" w:hanging="360"/>
      </w:pPr>
      <w:rPr>
        <w:rFonts w:hint="default"/>
      </w:rPr>
    </w:lvl>
    <w:lvl w:ilvl="1" w:tplc="44ECA5BC">
      <w:start w:val="1"/>
      <w:numFmt w:val="lowerRoman"/>
      <w:lvlText w:val="%2."/>
      <w:lvlJc w:val="right"/>
      <w:pPr>
        <w:ind w:left="1440" w:hanging="360"/>
      </w:pPr>
    </w:lvl>
    <w:lvl w:ilvl="2" w:tplc="CF8E16E2" w:tentative="1">
      <w:start w:val="1"/>
      <w:numFmt w:val="lowerRoman"/>
      <w:lvlText w:val="%3."/>
      <w:lvlJc w:val="right"/>
      <w:pPr>
        <w:ind w:left="2160" w:hanging="180"/>
      </w:pPr>
    </w:lvl>
    <w:lvl w:ilvl="3" w:tplc="45B476EC" w:tentative="1">
      <w:start w:val="1"/>
      <w:numFmt w:val="decimal"/>
      <w:lvlText w:val="%4."/>
      <w:lvlJc w:val="left"/>
      <w:pPr>
        <w:ind w:left="2880" w:hanging="360"/>
      </w:pPr>
    </w:lvl>
    <w:lvl w:ilvl="4" w:tplc="D1E6F622" w:tentative="1">
      <w:start w:val="1"/>
      <w:numFmt w:val="lowerLetter"/>
      <w:lvlText w:val="%5."/>
      <w:lvlJc w:val="left"/>
      <w:pPr>
        <w:ind w:left="3600" w:hanging="360"/>
      </w:pPr>
    </w:lvl>
    <w:lvl w:ilvl="5" w:tplc="0032DE70" w:tentative="1">
      <w:start w:val="1"/>
      <w:numFmt w:val="lowerRoman"/>
      <w:lvlText w:val="%6."/>
      <w:lvlJc w:val="right"/>
      <w:pPr>
        <w:ind w:left="4320" w:hanging="180"/>
      </w:pPr>
    </w:lvl>
    <w:lvl w:ilvl="6" w:tplc="3266CFDC" w:tentative="1">
      <w:start w:val="1"/>
      <w:numFmt w:val="decimal"/>
      <w:lvlText w:val="%7."/>
      <w:lvlJc w:val="left"/>
      <w:pPr>
        <w:ind w:left="5040" w:hanging="360"/>
      </w:pPr>
    </w:lvl>
    <w:lvl w:ilvl="7" w:tplc="B008A614" w:tentative="1">
      <w:start w:val="1"/>
      <w:numFmt w:val="lowerLetter"/>
      <w:lvlText w:val="%8."/>
      <w:lvlJc w:val="left"/>
      <w:pPr>
        <w:ind w:left="5760" w:hanging="360"/>
      </w:pPr>
    </w:lvl>
    <w:lvl w:ilvl="8" w:tplc="E44A6CD4"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E1NTE3MTQ3MzA1NjdU0lEKTi0uzszPAykwqgUATUlq3CwAAAA="/>
  </w:docVars>
  <w:rsids>
    <w:rsidRoot w:val="0003635B"/>
    <w:rsid w:val="00000426"/>
    <w:rsid w:val="00017284"/>
    <w:rsid w:val="00022784"/>
    <w:rsid w:val="00022B20"/>
    <w:rsid w:val="00031F7B"/>
    <w:rsid w:val="0003635B"/>
    <w:rsid w:val="00050F9E"/>
    <w:rsid w:val="00052A10"/>
    <w:rsid w:val="00062F1F"/>
    <w:rsid w:val="000775E2"/>
    <w:rsid w:val="00081137"/>
    <w:rsid w:val="00097514"/>
    <w:rsid w:val="000A16C5"/>
    <w:rsid w:val="000A5312"/>
    <w:rsid w:val="000E2D97"/>
    <w:rsid w:val="000E2E1E"/>
    <w:rsid w:val="000E2FF8"/>
    <w:rsid w:val="000E4C28"/>
    <w:rsid w:val="000F0AD0"/>
    <w:rsid w:val="001361AE"/>
    <w:rsid w:val="00144566"/>
    <w:rsid w:val="001464A8"/>
    <w:rsid w:val="00150D2D"/>
    <w:rsid w:val="00162699"/>
    <w:rsid w:val="00162B14"/>
    <w:rsid w:val="001727A8"/>
    <w:rsid w:val="001A1C6A"/>
    <w:rsid w:val="001A732C"/>
    <w:rsid w:val="001B0232"/>
    <w:rsid w:val="001B23EF"/>
    <w:rsid w:val="001B3E23"/>
    <w:rsid w:val="001B5565"/>
    <w:rsid w:val="001D2E15"/>
    <w:rsid w:val="001D7652"/>
    <w:rsid w:val="001E05E9"/>
    <w:rsid w:val="001F2CED"/>
    <w:rsid w:val="001F3132"/>
    <w:rsid w:val="00202628"/>
    <w:rsid w:val="00216FD0"/>
    <w:rsid w:val="00217BBB"/>
    <w:rsid w:val="00226CA6"/>
    <w:rsid w:val="00240847"/>
    <w:rsid w:val="00271582"/>
    <w:rsid w:val="0027322B"/>
    <w:rsid w:val="00283F95"/>
    <w:rsid w:val="00284163"/>
    <w:rsid w:val="00284B53"/>
    <w:rsid w:val="00284D96"/>
    <w:rsid w:val="002A7622"/>
    <w:rsid w:val="002A7A86"/>
    <w:rsid w:val="002B34F8"/>
    <w:rsid w:val="002B787B"/>
    <w:rsid w:val="002D1413"/>
    <w:rsid w:val="002E1974"/>
    <w:rsid w:val="002E3A96"/>
    <w:rsid w:val="002F16D8"/>
    <w:rsid w:val="002F6694"/>
    <w:rsid w:val="003019BD"/>
    <w:rsid w:val="003151F1"/>
    <w:rsid w:val="00324B07"/>
    <w:rsid w:val="00324CAF"/>
    <w:rsid w:val="00337DA6"/>
    <w:rsid w:val="00341539"/>
    <w:rsid w:val="00345366"/>
    <w:rsid w:val="0034595C"/>
    <w:rsid w:val="0035267C"/>
    <w:rsid w:val="00352D14"/>
    <w:rsid w:val="003557D6"/>
    <w:rsid w:val="00357268"/>
    <w:rsid w:val="0036717F"/>
    <w:rsid w:val="003762A9"/>
    <w:rsid w:val="003823B3"/>
    <w:rsid w:val="0039054E"/>
    <w:rsid w:val="003939ED"/>
    <w:rsid w:val="00394955"/>
    <w:rsid w:val="00395E29"/>
    <w:rsid w:val="003A03B8"/>
    <w:rsid w:val="003B3E55"/>
    <w:rsid w:val="003C4C48"/>
    <w:rsid w:val="003D3FFC"/>
    <w:rsid w:val="003D43D2"/>
    <w:rsid w:val="003D5A77"/>
    <w:rsid w:val="003D64C1"/>
    <w:rsid w:val="003E536F"/>
    <w:rsid w:val="003F22D8"/>
    <w:rsid w:val="00423DBD"/>
    <w:rsid w:val="00451B7F"/>
    <w:rsid w:val="00471D59"/>
    <w:rsid w:val="00472433"/>
    <w:rsid w:val="00477B3C"/>
    <w:rsid w:val="004A1014"/>
    <w:rsid w:val="004A5027"/>
    <w:rsid w:val="004B4E64"/>
    <w:rsid w:val="004E133D"/>
    <w:rsid w:val="00500AE5"/>
    <w:rsid w:val="00507256"/>
    <w:rsid w:val="00522A36"/>
    <w:rsid w:val="005430B7"/>
    <w:rsid w:val="00546480"/>
    <w:rsid w:val="00551932"/>
    <w:rsid w:val="005554AC"/>
    <w:rsid w:val="0056044D"/>
    <w:rsid w:val="00571970"/>
    <w:rsid w:val="00576E91"/>
    <w:rsid w:val="005872E3"/>
    <w:rsid w:val="005950E0"/>
    <w:rsid w:val="00596AFA"/>
    <w:rsid w:val="005C6F7C"/>
    <w:rsid w:val="005C7377"/>
    <w:rsid w:val="005D3F7D"/>
    <w:rsid w:val="005E7781"/>
    <w:rsid w:val="005F2157"/>
    <w:rsid w:val="00613464"/>
    <w:rsid w:val="00613E89"/>
    <w:rsid w:val="00615CA8"/>
    <w:rsid w:val="00621111"/>
    <w:rsid w:val="006446BC"/>
    <w:rsid w:val="00645725"/>
    <w:rsid w:val="00654EAF"/>
    <w:rsid w:val="00656388"/>
    <w:rsid w:val="0066521B"/>
    <w:rsid w:val="006715EE"/>
    <w:rsid w:val="00680E37"/>
    <w:rsid w:val="00697A67"/>
    <w:rsid w:val="006C748A"/>
    <w:rsid w:val="006D0155"/>
    <w:rsid w:val="006D0F99"/>
    <w:rsid w:val="006D3167"/>
    <w:rsid w:val="006D5B49"/>
    <w:rsid w:val="006E5852"/>
    <w:rsid w:val="006F0746"/>
    <w:rsid w:val="006F13A6"/>
    <w:rsid w:val="00702B27"/>
    <w:rsid w:val="00706434"/>
    <w:rsid w:val="00710CC9"/>
    <w:rsid w:val="0071797A"/>
    <w:rsid w:val="00722033"/>
    <w:rsid w:val="00724D4D"/>
    <w:rsid w:val="00732F6B"/>
    <w:rsid w:val="00741F75"/>
    <w:rsid w:val="007539DF"/>
    <w:rsid w:val="00755CEA"/>
    <w:rsid w:val="00777023"/>
    <w:rsid w:val="00777805"/>
    <w:rsid w:val="00782D06"/>
    <w:rsid w:val="00790C03"/>
    <w:rsid w:val="007975C8"/>
    <w:rsid w:val="00797C2A"/>
    <w:rsid w:val="007A0B99"/>
    <w:rsid w:val="007B75A8"/>
    <w:rsid w:val="007C48F7"/>
    <w:rsid w:val="007D33F0"/>
    <w:rsid w:val="007D70CF"/>
    <w:rsid w:val="007E0955"/>
    <w:rsid w:val="007E7B10"/>
    <w:rsid w:val="007F0147"/>
    <w:rsid w:val="00804A40"/>
    <w:rsid w:val="00804BE4"/>
    <w:rsid w:val="00822823"/>
    <w:rsid w:val="008475DE"/>
    <w:rsid w:val="00863B52"/>
    <w:rsid w:val="00864399"/>
    <w:rsid w:val="008736B0"/>
    <w:rsid w:val="00886578"/>
    <w:rsid w:val="0089194B"/>
    <w:rsid w:val="00891E88"/>
    <w:rsid w:val="00895D1B"/>
    <w:rsid w:val="008A225D"/>
    <w:rsid w:val="008A4EA7"/>
    <w:rsid w:val="008B741B"/>
    <w:rsid w:val="008C55B8"/>
    <w:rsid w:val="008E0AD5"/>
    <w:rsid w:val="008E6E5D"/>
    <w:rsid w:val="0090088F"/>
    <w:rsid w:val="00906B49"/>
    <w:rsid w:val="00906BA7"/>
    <w:rsid w:val="0092178E"/>
    <w:rsid w:val="0093244B"/>
    <w:rsid w:val="00937D6C"/>
    <w:rsid w:val="0094237D"/>
    <w:rsid w:val="00952DB5"/>
    <w:rsid w:val="009615D2"/>
    <w:rsid w:val="00963FF7"/>
    <w:rsid w:val="00967175"/>
    <w:rsid w:val="00967DD7"/>
    <w:rsid w:val="00974CC6"/>
    <w:rsid w:val="00975F50"/>
    <w:rsid w:val="00986B60"/>
    <w:rsid w:val="009909AF"/>
    <w:rsid w:val="009A6E76"/>
    <w:rsid w:val="009B5D49"/>
    <w:rsid w:val="009D0B3A"/>
    <w:rsid w:val="009E0416"/>
    <w:rsid w:val="00A1702C"/>
    <w:rsid w:val="00A22C77"/>
    <w:rsid w:val="00A41214"/>
    <w:rsid w:val="00A44275"/>
    <w:rsid w:val="00A442B1"/>
    <w:rsid w:val="00A4580C"/>
    <w:rsid w:val="00A54D12"/>
    <w:rsid w:val="00A54DFA"/>
    <w:rsid w:val="00A6351A"/>
    <w:rsid w:val="00A648BA"/>
    <w:rsid w:val="00A7247E"/>
    <w:rsid w:val="00A81993"/>
    <w:rsid w:val="00A94BA3"/>
    <w:rsid w:val="00A95526"/>
    <w:rsid w:val="00AA25D8"/>
    <w:rsid w:val="00AA61AB"/>
    <w:rsid w:val="00AA7EC2"/>
    <w:rsid w:val="00AC51DB"/>
    <w:rsid w:val="00AD7262"/>
    <w:rsid w:val="00AE4113"/>
    <w:rsid w:val="00B01393"/>
    <w:rsid w:val="00B052CB"/>
    <w:rsid w:val="00B0620F"/>
    <w:rsid w:val="00B06222"/>
    <w:rsid w:val="00B1128A"/>
    <w:rsid w:val="00B14A22"/>
    <w:rsid w:val="00B1697E"/>
    <w:rsid w:val="00B310F0"/>
    <w:rsid w:val="00B37FFB"/>
    <w:rsid w:val="00B427B3"/>
    <w:rsid w:val="00B50D33"/>
    <w:rsid w:val="00B8793A"/>
    <w:rsid w:val="00B93267"/>
    <w:rsid w:val="00BA0A50"/>
    <w:rsid w:val="00BA6214"/>
    <w:rsid w:val="00BB785B"/>
    <w:rsid w:val="00BD6DB2"/>
    <w:rsid w:val="00BF249D"/>
    <w:rsid w:val="00C03E79"/>
    <w:rsid w:val="00C041A2"/>
    <w:rsid w:val="00C07660"/>
    <w:rsid w:val="00C13A4F"/>
    <w:rsid w:val="00C15C49"/>
    <w:rsid w:val="00C20030"/>
    <w:rsid w:val="00C217DD"/>
    <w:rsid w:val="00C253F8"/>
    <w:rsid w:val="00C32B25"/>
    <w:rsid w:val="00C36706"/>
    <w:rsid w:val="00C36C5D"/>
    <w:rsid w:val="00C45510"/>
    <w:rsid w:val="00C462F7"/>
    <w:rsid w:val="00C600FE"/>
    <w:rsid w:val="00C700E8"/>
    <w:rsid w:val="00C7313D"/>
    <w:rsid w:val="00C7597F"/>
    <w:rsid w:val="00CA25C8"/>
    <w:rsid w:val="00CB7C4E"/>
    <w:rsid w:val="00CE7376"/>
    <w:rsid w:val="00D00BEE"/>
    <w:rsid w:val="00D023F6"/>
    <w:rsid w:val="00D05454"/>
    <w:rsid w:val="00D072AD"/>
    <w:rsid w:val="00D11587"/>
    <w:rsid w:val="00D2503B"/>
    <w:rsid w:val="00D46F60"/>
    <w:rsid w:val="00D82B4B"/>
    <w:rsid w:val="00D97C22"/>
    <w:rsid w:val="00DA1F6B"/>
    <w:rsid w:val="00DA7185"/>
    <w:rsid w:val="00DB2C38"/>
    <w:rsid w:val="00DB318C"/>
    <w:rsid w:val="00DB3AAF"/>
    <w:rsid w:val="00DC0E72"/>
    <w:rsid w:val="00DC2DF2"/>
    <w:rsid w:val="00DC3A57"/>
    <w:rsid w:val="00DD1C40"/>
    <w:rsid w:val="00DD2742"/>
    <w:rsid w:val="00DD7D0D"/>
    <w:rsid w:val="00DF14D5"/>
    <w:rsid w:val="00DF3B77"/>
    <w:rsid w:val="00DF630C"/>
    <w:rsid w:val="00E102AB"/>
    <w:rsid w:val="00E10E02"/>
    <w:rsid w:val="00E11074"/>
    <w:rsid w:val="00E2046D"/>
    <w:rsid w:val="00E35FB5"/>
    <w:rsid w:val="00E436B2"/>
    <w:rsid w:val="00E43F1D"/>
    <w:rsid w:val="00E505E0"/>
    <w:rsid w:val="00E52588"/>
    <w:rsid w:val="00E544A4"/>
    <w:rsid w:val="00E57E51"/>
    <w:rsid w:val="00E65F9F"/>
    <w:rsid w:val="00E725FA"/>
    <w:rsid w:val="00E72E6C"/>
    <w:rsid w:val="00E7447F"/>
    <w:rsid w:val="00E83DD3"/>
    <w:rsid w:val="00E851A6"/>
    <w:rsid w:val="00E90AB5"/>
    <w:rsid w:val="00E933A9"/>
    <w:rsid w:val="00EB4249"/>
    <w:rsid w:val="00EC72E4"/>
    <w:rsid w:val="00ED0EA6"/>
    <w:rsid w:val="00EE091C"/>
    <w:rsid w:val="00EE4FB1"/>
    <w:rsid w:val="00EF1B06"/>
    <w:rsid w:val="00EF24A4"/>
    <w:rsid w:val="00EF5818"/>
    <w:rsid w:val="00F04A6E"/>
    <w:rsid w:val="00F1333F"/>
    <w:rsid w:val="00F30923"/>
    <w:rsid w:val="00F51098"/>
    <w:rsid w:val="00F573D3"/>
    <w:rsid w:val="00F73555"/>
    <w:rsid w:val="00F73CB5"/>
    <w:rsid w:val="00F84BED"/>
    <w:rsid w:val="00F87138"/>
    <w:rsid w:val="00FB4975"/>
    <w:rsid w:val="00FC031F"/>
    <w:rsid w:val="00FC0439"/>
    <w:rsid w:val="00FC6E41"/>
    <w:rsid w:val="00FD7E62"/>
    <w:rsid w:val="00FE0B4C"/>
    <w:rsid w:val="00FE7C1C"/>
    <w:rsid w:val="00FF0616"/>
    <w:rsid w:val="00FF37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6C18"/>
  <w15:chartTrackingRefBased/>
  <w15:docId w15:val="{A5AE28BE-7C0C-4F27-A0DD-FF7C0E46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44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447F"/>
    <w:rPr>
      <w:sz w:val="20"/>
      <w:szCs w:val="20"/>
    </w:rPr>
  </w:style>
  <w:style w:type="character" w:styleId="FootnoteReference">
    <w:name w:val="footnote reference"/>
    <w:basedOn w:val="DefaultParagraphFont"/>
    <w:uiPriority w:val="99"/>
    <w:semiHidden/>
    <w:unhideWhenUsed/>
    <w:rsid w:val="00E7447F"/>
    <w:rPr>
      <w:vertAlign w:val="superscript"/>
    </w:rPr>
  </w:style>
  <w:style w:type="paragraph" w:styleId="ListParagraph">
    <w:name w:val="List Paragraph"/>
    <w:basedOn w:val="Normal"/>
    <w:link w:val="ListParagraphChar"/>
    <w:uiPriority w:val="34"/>
    <w:qFormat/>
    <w:rsid w:val="00952DB5"/>
    <w:pPr>
      <w:spacing w:after="200" w:line="276" w:lineRule="auto"/>
      <w:ind w:left="720"/>
      <w:contextualSpacing/>
    </w:pPr>
    <w:rPr>
      <w:lang w:val="en-GB"/>
    </w:rPr>
  </w:style>
  <w:style w:type="character" w:customStyle="1" w:styleId="ListParagraphChar">
    <w:name w:val="List Paragraph Char"/>
    <w:link w:val="ListParagraph"/>
    <w:uiPriority w:val="34"/>
    <w:locked/>
    <w:rsid w:val="00952DB5"/>
    <w:rPr>
      <w:lang w:val="en-GB"/>
    </w:rPr>
  </w:style>
  <w:style w:type="character" w:customStyle="1" w:styleId="legalhead">
    <w:name w:val="legal_head"/>
    <w:basedOn w:val="DefaultParagraphFont"/>
    <w:rsid w:val="00EF24A4"/>
  </w:style>
  <w:style w:type="character" w:customStyle="1" w:styleId="subjectmatter">
    <w:name w:val="subject_matter"/>
    <w:basedOn w:val="DefaultParagraphFont"/>
    <w:rsid w:val="00EF24A4"/>
  </w:style>
  <w:style w:type="character" w:customStyle="1" w:styleId="issue">
    <w:name w:val="issue"/>
    <w:basedOn w:val="DefaultParagraphFont"/>
    <w:rsid w:val="00EF24A4"/>
  </w:style>
  <w:style w:type="character" w:styleId="Emphasis">
    <w:name w:val="Emphasis"/>
    <w:basedOn w:val="DefaultParagraphFont"/>
    <w:uiPriority w:val="20"/>
    <w:qFormat/>
    <w:rsid w:val="00864399"/>
    <w:rPr>
      <w:i/>
      <w:iCs/>
    </w:rPr>
  </w:style>
  <w:style w:type="character" w:styleId="CommentReference">
    <w:name w:val="annotation reference"/>
    <w:basedOn w:val="DefaultParagraphFont"/>
    <w:uiPriority w:val="99"/>
    <w:semiHidden/>
    <w:unhideWhenUsed/>
    <w:rsid w:val="003762A9"/>
    <w:rPr>
      <w:sz w:val="16"/>
      <w:szCs w:val="16"/>
    </w:rPr>
  </w:style>
  <w:style w:type="paragraph" w:styleId="CommentText">
    <w:name w:val="annotation text"/>
    <w:basedOn w:val="Normal"/>
    <w:link w:val="CommentTextChar"/>
    <w:uiPriority w:val="99"/>
    <w:unhideWhenUsed/>
    <w:rsid w:val="003762A9"/>
    <w:pPr>
      <w:spacing w:line="240" w:lineRule="auto"/>
    </w:pPr>
    <w:rPr>
      <w:sz w:val="20"/>
      <w:szCs w:val="20"/>
    </w:rPr>
  </w:style>
  <w:style w:type="character" w:customStyle="1" w:styleId="CommentTextChar">
    <w:name w:val="Comment Text Char"/>
    <w:basedOn w:val="DefaultParagraphFont"/>
    <w:link w:val="CommentText"/>
    <w:uiPriority w:val="99"/>
    <w:rsid w:val="003762A9"/>
    <w:rPr>
      <w:sz w:val="20"/>
      <w:szCs w:val="20"/>
    </w:rPr>
  </w:style>
  <w:style w:type="paragraph" w:styleId="CommentSubject">
    <w:name w:val="annotation subject"/>
    <w:basedOn w:val="CommentText"/>
    <w:next w:val="CommentText"/>
    <w:link w:val="CommentSubjectChar"/>
    <w:uiPriority w:val="99"/>
    <w:semiHidden/>
    <w:unhideWhenUsed/>
    <w:rsid w:val="003762A9"/>
    <w:rPr>
      <w:b/>
      <w:bCs/>
    </w:rPr>
  </w:style>
  <w:style w:type="character" w:customStyle="1" w:styleId="CommentSubjectChar">
    <w:name w:val="Comment Subject Char"/>
    <w:basedOn w:val="CommentTextChar"/>
    <w:link w:val="CommentSubject"/>
    <w:uiPriority w:val="99"/>
    <w:semiHidden/>
    <w:rsid w:val="003762A9"/>
    <w:rPr>
      <w:b/>
      <w:bCs/>
      <w:sz w:val="20"/>
      <w:szCs w:val="20"/>
    </w:rPr>
  </w:style>
  <w:style w:type="paragraph" w:styleId="BalloonText">
    <w:name w:val="Balloon Text"/>
    <w:basedOn w:val="Normal"/>
    <w:link w:val="BalloonTextChar"/>
    <w:uiPriority w:val="99"/>
    <w:semiHidden/>
    <w:unhideWhenUsed/>
    <w:rsid w:val="00376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2A9"/>
    <w:rPr>
      <w:rFonts w:ascii="Segoe UI" w:hAnsi="Segoe UI" w:cs="Segoe UI"/>
      <w:sz w:val="18"/>
      <w:szCs w:val="18"/>
    </w:rPr>
  </w:style>
  <w:style w:type="paragraph" w:styleId="Revision">
    <w:name w:val="Revision"/>
    <w:hidden/>
    <w:uiPriority w:val="99"/>
    <w:semiHidden/>
    <w:rsid w:val="003C4C48"/>
    <w:pPr>
      <w:spacing w:after="0" w:line="240" w:lineRule="auto"/>
    </w:pPr>
  </w:style>
  <w:style w:type="character" w:styleId="Hyperlink">
    <w:name w:val="Hyperlink"/>
    <w:basedOn w:val="DefaultParagraphFont"/>
    <w:uiPriority w:val="99"/>
    <w:unhideWhenUsed/>
    <w:rsid w:val="007C48F7"/>
    <w:rPr>
      <w:color w:val="0563C1" w:themeColor="hyperlink"/>
      <w:u w:val="single"/>
    </w:rPr>
  </w:style>
  <w:style w:type="character" w:customStyle="1" w:styleId="UnresolvedMention">
    <w:name w:val="Unresolved Mention"/>
    <w:basedOn w:val="DefaultParagraphFont"/>
    <w:uiPriority w:val="99"/>
    <w:semiHidden/>
    <w:unhideWhenUsed/>
    <w:rsid w:val="007C4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207000">
      <w:bodyDiv w:val="1"/>
      <w:marLeft w:val="0"/>
      <w:marRight w:val="0"/>
      <w:marTop w:val="0"/>
      <w:marBottom w:val="0"/>
      <w:divBdr>
        <w:top w:val="none" w:sz="0" w:space="0" w:color="auto"/>
        <w:left w:val="none" w:sz="0" w:space="0" w:color="auto"/>
        <w:bottom w:val="none" w:sz="0" w:space="0" w:color="auto"/>
        <w:right w:val="none" w:sz="0" w:space="0" w:color="auto"/>
      </w:divBdr>
    </w:div>
    <w:div w:id="213636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jelonu@spaajibade.co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D1DA6-ACAC-4AFA-9386-F1D5A96A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DAMILOLA AKINSANYA</dc:creator>
  <cp:lastModifiedBy>Adrian Goyena</cp:lastModifiedBy>
  <cp:revision>2</cp:revision>
  <dcterms:created xsi:type="dcterms:W3CDTF">2024-07-11T03:06:00Z</dcterms:created>
  <dcterms:modified xsi:type="dcterms:W3CDTF">2024-07-11T03:06:00Z</dcterms:modified>
</cp:coreProperties>
</file>